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83" w:rsidRPr="007D6479" w:rsidRDefault="001C4983" w:rsidP="006728B7">
      <w:pPr>
        <w:pStyle w:val="Caption"/>
        <w:ind w:right="21"/>
        <w:rPr>
          <w:b/>
          <w:bCs/>
          <w:sz w:val="24"/>
          <w:szCs w:val="24"/>
        </w:rPr>
      </w:pPr>
      <w:r w:rsidRPr="007D6479">
        <w:rPr>
          <w:b/>
          <w:bCs/>
          <w:sz w:val="24"/>
          <w:szCs w:val="24"/>
        </w:rPr>
        <w:t xml:space="preserve">Информация по результатам внешней проверки годового отчета об исполнении бюджета муниципального образования «Муниципальный округ Сюмсинский район Удмуртской Республики» за 2023 год                                                                 </w:t>
      </w:r>
    </w:p>
    <w:p w:rsidR="001C4983" w:rsidRPr="007D6479" w:rsidRDefault="001C4983" w:rsidP="00EC78C0">
      <w:pPr>
        <w:pStyle w:val="NormalWeb"/>
        <w:shd w:val="clear" w:color="auto" w:fill="FFFFFF"/>
        <w:spacing w:after="0"/>
        <w:jc w:val="both"/>
        <w:rPr>
          <w:rFonts w:ascii="Times New Roman" w:hAnsi="Times New Roman" w:cs="Times New Roman"/>
          <w:sz w:val="24"/>
          <w:szCs w:val="24"/>
        </w:rPr>
      </w:pPr>
    </w:p>
    <w:p w:rsidR="001C4983" w:rsidRPr="007D6479" w:rsidRDefault="001C4983" w:rsidP="00EC78C0">
      <w:pPr>
        <w:pStyle w:val="NormalWeb"/>
        <w:shd w:val="clear" w:color="auto" w:fill="FFFFFF"/>
        <w:spacing w:after="0"/>
        <w:jc w:val="both"/>
        <w:rPr>
          <w:rFonts w:ascii="Times New Roman" w:hAnsi="Times New Roman" w:cs="Times New Roman"/>
          <w:b/>
          <w:bCs/>
          <w:sz w:val="24"/>
          <w:szCs w:val="24"/>
        </w:rPr>
      </w:pPr>
    </w:p>
    <w:p w:rsidR="001C4983" w:rsidRPr="007D6479" w:rsidRDefault="001C4983" w:rsidP="00601B56">
      <w:pPr>
        <w:ind w:right="-72" w:firstLine="708"/>
        <w:jc w:val="both"/>
        <w:rPr>
          <w:sz w:val="24"/>
          <w:szCs w:val="24"/>
        </w:rPr>
      </w:pPr>
      <w:r w:rsidRPr="007D6479">
        <w:rPr>
          <w:sz w:val="24"/>
          <w:szCs w:val="24"/>
        </w:rPr>
        <w:t>В соответствии со ст. 264.4 Бюджетного кодекса Российской Федерации, пункта 2.1 плана работы контрольно–счетного органа муниципального образования «Муниципальный округ Сюмсинский район Удмуртской Республики» на 2024 год, утвержденного приказом контрольно–счетного органа муниципального образования «Муниципальный округ Сюмсинский район Удмуртской Республики» от 20 декабря 2023 года № 5,  на основании приказа контрольно–счетного органа муниципального образования «Муниципальный округ Сюмсинский район Удмуртской Республики» от 18 марта 2024 года № 5 «О проведении внешней проверки годового отчета об исполнении бюджета муниципального образования «Муниципальный округ Сюмсинский район Удмуртской Республики» за 2023 год и подготовке заключения» Председателем контрольно–счетного органа муниципального образования «Муниципальный округ Сюмсинский район Удмуртской Республики» проведена внешняя проверка годового отчета об исполнении бюджета муниципального образования «Муниципальный округ Сюмсинский район Удмуртской Республики» за 2023 год.</w:t>
      </w:r>
    </w:p>
    <w:p w:rsidR="001C4983" w:rsidRPr="007D6479" w:rsidRDefault="001C4983" w:rsidP="00601B56">
      <w:pPr>
        <w:ind w:right="-1" w:firstLine="709"/>
        <w:jc w:val="both"/>
        <w:rPr>
          <w:sz w:val="24"/>
          <w:szCs w:val="24"/>
        </w:rPr>
      </w:pPr>
    </w:p>
    <w:p w:rsidR="001C4983" w:rsidRPr="007D6479" w:rsidRDefault="001C4983" w:rsidP="006145C0">
      <w:pPr>
        <w:ind w:right="-1" w:firstLine="709"/>
        <w:jc w:val="both"/>
        <w:rPr>
          <w:sz w:val="24"/>
          <w:szCs w:val="24"/>
        </w:rPr>
      </w:pPr>
      <w:r w:rsidRPr="007D6479">
        <w:rPr>
          <w:sz w:val="24"/>
          <w:szCs w:val="24"/>
        </w:rPr>
        <w:t>Правовой основой исполнения бюджета муниципального образования «Муниципальный округ Сюмсинский район Удмуртской Республики» в 2023 году являлось решение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«Муниципальный округ Сюмсинский район Удмуртской Республики» на 2023 год и на плановый период 2024 и 2025 годов» (далее – решение о бюджете). В течение 2023 года в решение о бюджете вносились изменения: от 02.03.2023г. № 236, от 21.04.2023г. № 256, от 05.10.2023г. № 308, от 26.10.2023г. № 309, от 21.12.2023г. № 341 (далее – решение о бюджете с изменениями).</w:t>
      </w:r>
    </w:p>
    <w:p w:rsidR="001C4983" w:rsidRPr="007D6479" w:rsidRDefault="001C4983" w:rsidP="008D3AB9">
      <w:pPr>
        <w:jc w:val="both"/>
        <w:rPr>
          <w:sz w:val="24"/>
          <w:szCs w:val="24"/>
        </w:rPr>
      </w:pPr>
      <w:r w:rsidRPr="007D6479">
        <w:rPr>
          <w:sz w:val="24"/>
          <w:szCs w:val="24"/>
        </w:rPr>
        <w:t>Бюджетная отчетность составлена с учетом требований статей 264.1, 264.2 Бюджетного кодекса РФ и по формам, предусмотренным</w:t>
      </w:r>
      <w:r>
        <w:rPr>
          <w:sz w:val="24"/>
          <w:szCs w:val="24"/>
        </w:rPr>
        <w:t>и</w:t>
      </w:r>
      <w:r w:rsidRPr="007D6479">
        <w:rPr>
          <w:sz w:val="24"/>
          <w:szCs w:val="24"/>
        </w:rPr>
        <w:t xml:space="preserve"> Инструкциями № 191н, № 33н, утвержденными приказами Минфина РФ от </w:t>
      </w:r>
      <w:r>
        <w:rPr>
          <w:sz w:val="24"/>
          <w:szCs w:val="24"/>
        </w:rPr>
        <w:t>28 декабря 2010 года</w:t>
      </w:r>
      <w:r w:rsidRPr="007D6479">
        <w:rPr>
          <w:sz w:val="24"/>
          <w:szCs w:val="24"/>
        </w:rPr>
        <w:t xml:space="preserve"> и </w:t>
      </w:r>
      <w:r>
        <w:rPr>
          <w:sz w:val="24"/>
          <w:szCs w:val="24"/>
        </w:rPr>
        <w:t>25 марта 2011 года</w:t>
      </w:r>
      <w:r w:rsidRPr="007D6479">
        <w:rPr>
          <w:sz w:val="24"/>
          <w:szCs w:val="24"/>
        </w:rPr>
        <w:t xml:space="preserve"> соответственно, с отражением в указанных формах полученных доходов, расходов и источников внутреннего финансирования дефицита бюджета.</w:t>
      </w:r>
    </w:p>
    <w:p w:rsidR="001C4983" w:rsidRPr="007D6479" w:rsidRDefault="001C4983" w:rsidP="008D3AB9">
      <w:pPr>
        <w:jc w:val="both"/>
        <w:rPr>
          <w:sz w:val="24"/>
          <w:szCs w:val="24"/>
        </w:rPr>
      </w:pPr>
      <w:r w:rsidRPr="007D6479">
        <w:rPr>
          <w:sz w:val="24"/>
          <w:szCs w:val="24"/>
        </w:rPr>
        <w:t xml:space="preserve">     Годовая бюджетная отчетность за 2023 год позволяет проанализировать финансовое положение и результаты деятельности муниципального образования «Муниципальный округ Сюмсинский район Удмуртской Республики» и подтвердить правильность составления представленных форм. </w:t>
      </w:r>
    </w:p>
    <w:p w:rsidR="001C4983" w:rsidRPr="007D6479" w:rsidRDefault="001C4983" w:rsidP="007D6479">
      <w:pPr>
        <w:jc w:val="both"/>
        <w:rPr>
          <w:sz w:val="24"/>
          <w:szCs w:val="24"/>
        </w:rPr>
      </w:pPr>
      <w:r w:rsidRPr="007D6479">
        <w:rPr>
          <w:sz w:val="24"/>
          <w:szCs w:val="24"/>
        </w:rPr>
        <w:t xml:space="preserve">     Отчетность составлена на основании данных Главной книги и регистров бюджетного учета, при сверке контрольных соотношений взаимосвязанных показателей между формами бюджетной отчетности расхождений не установлено.</w:t>
      </w:r>
    </w:p>
    <w:p w:rsidR="001C4983" w:rsidRPr="007D6479" w:rsidRDefault="001C4983" w:rsidP="006145C0">
      <w:pPr>
        <w:ind w:right="-1" w:firstLine="709"/>
        <w:jc w:val="both"/>
        <w:rPr>
          <w:sz w:val="24"/>
          <w:szCs w:val="24"/>
        </w:rPr>
      </w:pPr>
      <w:r w:rsidRPr="007D6479">
        <w:rPr>
          <w:sz w:val="24"/>
          <w:szCs w:val="24"/>
        </w:rPr>
        <w:t>Фактическое исполнение по доходам за 2023 год составило 696 526,3 тыс. руб. или 99,5% от уточненного плана и на 5,9% меньше, чем фактическое исполнение 2022 года (740 370,1 тыс. руб.).</w:t>
      </w:r>
    </w:p>
    <w:p w:rsidR="001C4983" w:rsidRPr="007D6479" w:rsidRDefault="001C4983" w:rsidP="006145C0">
      <w:pPr>
        <w:ind w:right="-1" w:firstLine="709"/>
        <w:jc w:val="both"/>
        <w:rPr>
          <w:sz w:val="24"/>
          <w:szCs w:val="24"/>
        </w:rPr>
      </w:pPr>
      <w:r w:rsidRPr="007D6479">
        <w:rPr>
          <w:sz w:val="24"/>
          <w:szCs w:val="24"/>
        </w:rPr>
        <w:t>Исполнение по налоговым и неналоговым доходам составило 145 470,7 тыс. руб. или 105,1% к уточненному плану (138 388,0 тыс. руб.) и на 6,4% больше, чем в 2022 году (136 703,0 тыс. руб.). Наибольший удельный вес в структуре налоговых и неналоговых доходов занимает «Налог на прибыль, доходы» который составляет 70,5% (102 526,4 тыс. руб.).</w:t>
      </w:r>
    </w:p>
    <w:p w:rsidR="001C4983" w:rsidRPr="007D6479" w:rsidRDefault="001C4983" w:rsidP="006145C0">
      <w:pPr>
        <w:ind w:right="-1" w:firstLine="709"/>
        <w:jc w:val="both"/>
        <w:rPr>
          <w:sz w:val="24"/>
          <w:szCs w:val="24"/>
        </w:rPr>
      </w:pPr>
      <w:r w:rsidRPr="007D6479">
        <w:rPr>
          <w:sz w:val="24"/>
          <w:szCs w:val="24"/>
        </w:rPr>
        <w:t>Исполнение по безвозмездным поступлениям составило 551 055,6 тыс. руб. или 98,2% к уточненному плану (561 359,0 тыс. руб.) и на 8,7% меньше, чем в 2022 году (603 667,1 тыс. руб.). Наибольший удельный вес в структуре безвозмездных поступлений занимают поступления от других бюджетов бюджетной системы Российской Федерации, которые составили 101% (556 646,4 тыс. руб.) соответствующих доходов.  Превышение безвозмездных поступлений от других бюджетов бюджетной системы Российской Федерации в сравнении с безвозмездными поступлениями в целом обусловлено тем, что на общую сумму безвозмездных поступлений повлияла сумма возврата остатков субсидий.</w:t>
      </w:r>
    </w:p>
    <w:p w:rsidR="001C4983" w:rsidRPr="007D6479" w:rsidRDefault="001C4983" w:rsidP="006145C0">
      <w:pPr>
        <w:tabs>
          <w:tab w:val="num" w:pos="180"/>
        </w:tabs>
        <w:ind w:right="-1" w:firstLine="709"/>
        <w:jc w:val="both"/>
        <w:rPr>
          <w:sz w:val="24"/>
          <w:szCs w:val="24"/>
        </w:rPr>
      </w:pPr>
      <w:r w:rsidRPr="007D6479">
        <w:rPr>
          <w:sz w:val="24"/>
          <w:szCs w:val="24"/>
        </w:rPr>
        <w:t>Исполнение бюджета в 2023 году проводилось в структуре 15 муниципальных программ (далее – МП) и по непрограммным направлениям деятельности.</w:t>
      </w:r>
    </w:p>
    <w:p w:rsidR="001C4983" w:rsidRPr="007D6479" w:rsidRDefault="001C4983" w:rsidP="006145C0">
      <w:pPr>
        <w:tabs>
          <w:tab w:val="left" w:pos="709"/>
        </w:tabs>
        <w:ind w:right="-1" w:firstLine="709"/>
        <w:jc w:val="both"/>
        <w:rPr>
          <w:sz w:val="24"/>
          <w:szCs w:val="24"/>
        </w:rPr>
      </w:pPr>
      <w:r w:rsidRPr="007D6479">
        <w:rPr>
          <w:sz w:val="24"/>
          <w:szCs w:val="24"/>
        </w:rPr>
        <w:t>Программные расходы составили 696 712,3 тыс. руб., их доля в общей сумме расходов за 2023 год составила 99,3%.</w:t>
      </w:r>
    </w:p>
    <w:p w:rsidR="001C4983" w:rsidRPr="007D6479" w:rsidRDefault="001C4983" w:rsidP="00133C17">
      <w:pPr>
        <w:tabs>
          <w:tab w:val="left" w:pos="709"/>
        </w:tabs>
        <w:ind w:right="-1" w:firstLine="709"/>
        <w:jc w:val="both"/>
        <w:rPr>
          <w:sz w:val="24"/>
          <w:szCs w:val="24"/>
        </w:rPr>
      </w:pPr>
      <w:r w:rsidRPr="007D6479">
        <w:rPr>
          <w:sz w:val="24"/>
          <w:szCs w:val="24"/>
        </w:rPr>
        <w:t xml:space="preserve">Уточненный план по 15 МП составил </w:t>
      </w:r>
      <w:r w:rsidRPr="007D6479">
        <w:rPr>
          <w:color w:val="000000"/>
          <w:sz w:val="24"/>
          <w:szCs w:val="24"/>
        </w:rPr>
        <w:t xml:space="preserve">725 133,6 </w:t>
      </w:r>
      <w:r w:rsidRPr="007D6479">
        <w:rPr>
          <w:sz w:val="24"/>
          <w:szCs w:val="24"/>
        </w:rPr>
        <w:t>тыс. руб., исполнение –         696 712,3 тыс. руб., что составляет 96,1% к уточненному плану. Наибольший удельный вес расходов составили расходы по МП «Развитие образования и воспитания» - 64,4%, от суммы исполнения по МП, наименьший МП «Укрепление общественного здоровья» в размере 5,0 тыс. руб.</w:t>
      </w:r>
    </w:p>
    <w:p w:rsidR="001C4983" w:rsidRPr="007D6479" w:rsidRDefault="001C4983" w:rsidP="00133C17">
      <w:pPr>
        <w:tabs>
          <w:tab w:val="left" w:pos="709"/>
        </w:tabs>
        <w:ind w:right="-1" w:firstLine="709"/>
        <w:jc w:val="both"/>
        <w:rPr>
          <w:sz w:val="24"/>
          <w:szCs w:val="24"/>
        </w:rPr>
      </w:pPr>
      <w:r w:rsidRPr="007D6479">
        <w:rPr>
          <w:sz w:val="24"/>
          <w:szCs w:val="24"/>
        </w:rPr>
        <w:t>Исполнение по МП отражен</w:t>
      </w:r>
      <w:r>
        <w:rPr>
          <w:sz w:val="24"/>
          <w:szCs w:val="24"/>
        </w:rPr>
        <w:t>о</w:t>
      </w:r>
      <w:r w:rsidRPr="007D6479">
        <w:rPr>
          <w:sz w:val="24"/>
          <w:szCs w:val="24"/>
        </w:rPr>
        <w:t xml:space="preserve"> в Таблице 1.</w:t>
      </w:r>
    </w:p>
    <w:p w:rsidR="001C4983" w:rsidRPr="007D6479" w:rsidRDefault="001C4983" w:rsidP="00F70413">
      <w:pPr>
        <w:tabs>
          <w:tab w:val="left" w:pos="709"/>
        </w:tabs>
        <w:ind w:right="-1" w:firstLine="709"/>
        <w:jc w:val="right"/>
        <w:rPr>
          <w:sz w:val="24"/>
          <w:szCs w:val="24"/>
          <w:lang w:val="en-US"/>
        </w:rPr>
      </w:pPr>
      <w:r w:rsidRPr="007D6479">
        <w:rPr>
          <w:sz w:val="24"/>
          <w:szCs w:val="24"/>
        </w:rPr>
        <w:t xml:space="preserve">Таблица </w:t>
      </w:r>
      <w:r w:rsidRPr="007D6479">
        <w:rPr>
          <w:sz w:val="24"/>
          <w:szCs w:val="24"/>
          <w:lang w:val="en-US"/>
        </w:rPr>
        <w:t>1</w:t>
      </w:r>
    </w:p>
    <w:tbl>
      <w:tblPr>
        <w:tblW w:w="9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0"/>
        <w:gridCol w:w="1276"/>
        <w:gridCol w:w="1184"/>
        <w:gridCol w:w="1650"/>
      </w:tblGrid>
      <w:tr w:rsidR="001C4983" w:rsidRPr="007D6479">
        <w:trPr>
          <w:trHeight w:val="288"/>
          <w:tblHeader/>
        </w:trPr>
        <w:tc>
          <w:tcPr>
            <w:tcW w:w="5540" w:type="dxa"/>
            <w:vAlign w:val="center"/>
          </w:tcPr>
          <w:p w:rsidR="001C4983" w:rsidRPr="007D6479" w:rsidRDefault="001C4983" w:rsidP="00B406E6">
            <w:pPr>
              <w:widowControl/>
              <w:autoSpaceDE/>
              <w:autoSpaceDN/>
              <w:adjustRightInd/>
              <w:jc w:val="center"/>
              <w:rPr>
                <w:b/>
                <w:bCs/>
                <w:color w:val="000000"/>
                <w:sz w:val="24"/>
                <w:szCs w:val="24"/>
              </w:rPr>
            </w:pPr>
            <w:r w:rsidRPr="007D6479">
              <w:rPr>
                <w:b/>
                <w:bCs/>
                <w:color w:val="000000"/>
                <w:sz w:val="24"/>
                <w:szCs w:val="24"/>
              </w:rPr>
              <w:t>Наименование МП</w:t>
            </w:r>
          </w:p>
        </w:tc>
        <w:tc>
          <w:tcPr>
            <w:tcW w:w="1276" w:type="dxa"/>
            <w:vAlign w:val="center"/>
          </w:tcPr>
          <w:p w:rsidR="001C4983" w:rsidRPr="007D6479" w:rsidRDefault="001C4983" w:rsidP="00B406E6">
            <w:pPr>
              <w:widowControl/>
              <w:autoSpaceDE/>
              <w:autoSpaceDN/>
              <w:adjustRightInd/>
              <w:jc w:val="center"/>
              <w:rPr>
                <w:b/>
                <w:bCs/>
                <w:color w:val="000000"/>
                <w:sz w:val="24"/>
                <w:szCs w:val="24"/>
              </w:rPr>
            </w:pPr>
            <w:r w:rsidRPr="007D6479">
              <w:rPr>
                <w:b/>
                <w:bCs/>
                <w:color w:val="000000"/>
                <w:sz w:val="24"/>
                <w:szCs w:val="24"/>
              </w:rPr>
              <w:t>2022 год</w:t>
            </w:r>
          </w:p>
        </w:tc>
        <w:tc>
          <w:tcPr>
            <w:tcW w:w="1184" w:type="dxa"/>
            <w:noWrap/>
            <w:vAlign w:val="center"/>
          </w:tcPr>
          <w:p w:rsidR="001C4983" w:rsidRPr="007D6479" w:rsidRDefault="001C4983" w:rsidP="00B406E6">
            <w:pPr>
              <w:widowControl/>
              <w:autoSpaceDE/>
              <w:autoSpaceDN/>
              <w:adjustRightInd/>
              <w:jc w:val="center"/>
              <w:rPr>
                <w:b/>
                <w:bCs/>
                <w:color w:val="000000"/>
                <w:sz w:val="24"/>
                <w:szCs w:val="24"/>
              </w:rPr>
            </w:pPr>
            <w:r w:rsidRPr="007D6479">
              <w:rPr>
                <w:b/>
                <w:bCs/>
                <w:color w:val="000000"/>
                <w:sz w:val="24"/>
                <w:szCs w:val="24"/>
              </w:rPr>
              <w:t>2023 год</w:t>
            </w:r>
          </w:p>
        </w:tc>
        <w:tc>
          <w:tcPr>
            <w:tcW w:w="1650" w:type="dxa"/>
            <w:noWrap/>
            <w:vAlign w:val="center"/>
          </w:tcPr>
          <w:p w:rsidR="001C4983" w:rsidRPr="007D6479" w:rsidRDefault="001C4983" w:rsidP="00B406E6">
            <w:pPr>
              <w:widowControl/>
              <w:autoSpaceDE/>
              <w:autoSpaceDN/>
              <w:adjustRightInd/>
              <w:jc w:val="center"/>
              <w:rPr>
                <w:b/>
                <w:bCs/>
                <w:color w:val="000000"/>
                <w:sz w:val="24"/>
                <w:szCs w:val="24"/>
              </w:rPr>
            </w:pPr>
            <w:r w:rsidRPr="007D6479">
              <w:rPr>
                <w:b/>
                <w:bCs/>
                <w:color w:val="000000"/>
                <w:sz w:val="24"/>
                <w:szCs w:val="24"/>
              </w:rPr>
              <w:t>Темп роста, %</w:t>
            </w:r>
          </w:p>
        </w:tc>
      </w:tr>
      <w:tr w:rsidR="001C4983" w:rsidRPr="007D6479">
        <w:trPr>
          <w:trHeight w:val="288"/>
        </w:trPr>
        <w:tc>
          <w:tcPr>
            <w:tcW w:w="5540" w:type="dxa"/>
            <w:vAlign w:val="bottom"/>
          </w:tcPr>
          <w:p w:rsidR="001C4983" w:rsidRPr="007D6479" w:rsidRDefault="001C4983" w:rsidP="005A76EC">
            <w:pPr>
              <w:rPr>
                <w:color w:val="000000"/>
                <w:sz w:val="24"/>
                <w:szCs w:val="24"/>
              </w:rPr>
            </w:pPr>
            <w:r w:rsidRPr="007D6479">
              <w:rPr>
                <w:color w:val="000000"/>
                <w:sz w:val="24"/>
                <w:szCs w:val="24"/>
              </w:rPr>
              <w:t>01-МП «Развитие образования и воспитания»</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423 923,0</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448 693,9</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105,8</w:t>
            </w:r>
          </w:p>
        </w:tc>
      </w:tr>
      <w:tr w:rsidR="001C4983" w:rsidRPr="007D6479">
        <w:trPr>
          <w:trHeight w:val="540"/>
        </w:trPr>
        <w:tc>
          <w:tcPr>
            <w:tcW w:w="5540" w:type="dxa"/>
            <w:vAlign w:val="bottom"/>
          </w:tcPr>
          <w:p w:rsidR="001C4983" w:rsidRPr="007D6479" w:rsidRDefault="001C4983" w:rsidP="005A76EC">
            <w:pPr>
              <w:rPr>
                <w:color w:val="000000"/>
                <w:sz w:val="24"/>
                <w:szCs w:val="24"/>
              </w:rPr>
            </w:pPr>
            <w:r w:rsidRPr="007D6479">
              <w:rPr>
                <w:color w:val="000000"/>
                <w:sz w:val="24"/>
                <w:szCs w:val="24"/>
              </w:rPr>
              <w:t>02-МП «Создание условий для развития физической культуры и спорта»</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1 436,0</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751,7</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52,3</w:t>
            </w:r>
          </w:p>
        </w:tc>
      </w:tr>
      <w:tr w:rsidR="001C4983" w:rsidRPr="007D6479">
        <w:trPr>
          <w:trHeight w:val="288"/>
        </w:trPr>
        <w:tc>
          <w:tcPr>
            <w:tcW w:w="5540" w:type="dxa"/>
            <w:vAlign w:val="bottom"/>
          </w:tcPr>
          <w:p w:rsidR="001C4983" w:rsidRPr="007D6479" w:rsidRDefault="001C4983" w:rsidP="005A76EC">
            <w:pPr>
              <w:rPr>
                <w:color w:val="000000"/>
                <w:sz w:val="24"/>
                <w:szCs w:val="24"/>
              </w:rPr>
            </w:pPr>
            <w:r w:rsidRPr="007D6479">
              <w:rPr>
                <w:color w:val="000000"/>
                <w:sz w:val="24"/>
                <w:szCs w:val="24"/>
              </w:rPr>
              <w:t>03-МП «Развитие культуры»</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44 461,5</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44 441,5</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99,9</w:t>
            </w:r>
          </w:p>
        </w:tc>
      </w:tr>
      <w:tr w:rsidR="001C4983" w:rsidRPr="007D6479">
        <w:trPr>
          <w:trHeight w:val="288"/>
        </w:trPr>
        <w:tc>
          <w:tcPr>
            <w:tcW w:w="5540" w:type="dxa"/>
            <w:vAlign w:val="bottom"/>
          </w:tcPr>
          <w:p w:rsidR="001C4983" w:rsidRPr="007D6479" w:rsidRDefault="001C4983" w:rsidP="005A76EC">
            <w:pPr>
              <w:rPr>
                <w:color w:val="000000"/>
                <w:sz w:val="24"/>
                <w:szCs w:val="24"/>
              </w:rPr>
            </w:pPr>
            <w:r w:rsidRPr="007D6479">
              <w:rPr>
                <w:color w:val="000000"/>
                <w:sz w:val="24"/>
                <w:szCs w:val="24"/>
              </w:rPr>
              <w:t>04-МП «Социальная поддержка населения»</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3 967,0</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3 380,5</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85,2</w:t>
            </w:r>
          </w:p>
        </w:tc>
      </w:tr>
      <w:tr w:rsidR="001C4983" w:rsidRPr="007D6479">
        <w:trPr>
          <w:trHeight w:val="540"/>
        </w:trPr>
        <w:tc>
          <w:tcPr>
            <w:tcW w:w="5540" w:type="dxa"/>
            <w:vAlign w:val="bottom"/>
          </w:tcPr>
          <w:p w:rsidR="001C4983" w:rsidRPr="007D6479" w:rsidRDefault="001C4983" w:rsidP="005A76EC">
            <w:pPr>
              <w:rPr>
                <w:color w:val="000000"/>
                <w:sz w:val="24"/>
                <w:szCs w:val="24"/>
              </w:rPr>
            </w:pPr>
            <w:r w:rsidRPr="007D6479">
              <w:rPr>
                <w:color w:val="000000"/>
                <w:sz w:val="24"/>
                <w:szCs w:val="24"/>
              </w:rPr>
              <w:t>05-МП «Создание условий для устойчивого экономического развития»</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1 287,9</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1 428,8</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110,9</w:t>
            </w:r>
          </w:p>
        </w:tc>
      </w:tr>
      <w:tr w:rsidR="001C4983" w:rsidRPr="007D6479">
        <w:trPr>
          <w:trHeight w:val="288"/>
        </w:trPr>
        <w:tc>
          <w:tcPr>
            <w:tcW w:w="5540" w:type="dxa"/>
            <w:vAlign w:val="bottom"/>
          </w:tcPr>
          <w:p w:rsidR="001C4983" w:rsidRPr="007D6479" w:rsidRDefault="001C4983" w:rsidP="005A76EC">
            <w:pPr>
              <w:rPr>
                <w:color w:val="000000"/>
                <w:sz w:val="24"/>
                <w:szCs w:val="24"/>
              </w:rPr>
            </w:pPr>
            <w:r w:rsidRPr="007D6479">
              <w:rPr>
                <w:color w:val="000000"/>
                <w:sz w:val="24"/>
                <w:szCs w:val="24"/>
              </w:rPr>
              <w:t>06-МП «Безопасность»</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1 091,5</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1 250,8</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114,6</w:t>
            </w:r>
          </w:p>
        </w:tc>
      </w:tr>
      <w:tr w:rsidR="001C4983" w:rsidRPr="007D6479">
        <w:trPr>
          <w:trHeight w:val="288"/>
        </w:trPr>
        <w:tc>
          <w:tcPr>
            <w:tcW w:w="5540" w:type="dxa"/>
            <w:vAlign w:val="bottom"/>
          </w:tcPr>
          <w:p w:rsidR="001C4983" w:rsidRPr="007D6479" w:rsidRDefault="001C4983" w:rsidP="005A76EC">
            <w:pPr>
              <w:rPr>
                <w:color w:val="000000"/>
                <w:sz w:val="24"/>
                <w:szCs w:val="24"/>
              </w:rPr>
            </w:pPr>
            <w:r w:rsidRPr="007D6479">
              <w:rPr>
                <w:color w:val="000000"/>
                <w:sz w:val="24"/>
                <w:szCs w:val="24"/>
              </w:rPr>
              <w:t>07-МП «Содержание и развитие муниципального хозяйства»</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140 556,1</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85 964,5</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61,2</w:t>
            </w:r>
          </w:p>
        </w:tc>
      </w:tr>
      <w:tr w:rsidR="001C4983" w:rsidRPr="007D6479">
        <w:trPr>
          <w:trHeight w:val="540"/>
        </w:trPr>
        <w:tc>
          <w:tcPr>
            <w:tcW w:w="5540" w:type="dxa"/>
            <w:vAlign w:val="bottom"/>
          </w:tcPr>
          <w:p w:rsidR="001C4983" w:rsidRPr="007D6479" w:rsidRDefault="001C4983" w:rsidP="005A76EC">
            <w:pPr>
              <w:rPr>
                <w:color w:val="000000"/>
                <w:sz w:val="24"/>
                <w:szCs w:val="24"/>
              </w:rPr>
            </w:pPr>
            <w:r w:rsidRPr="007D6479">
              <w:rPr>
                <w:color w:val="000000"/>
                <w:sz w:val="24"/>
                <w:szCs w:val="24"/>
              </w:rPr>
              <w:t>08-МП  «Энергосбережение и повышение энергетической эффективности»</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2 481,9</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647,7</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26,1</w:t>
            </w:r>
          </w:p>
        </w:tc>
      </w:tr>
      <w:tr w:rsidR="001C4983" w:rsidRPr="007D6479">
        <w:trPr>
          <w:trHeight w:val="315"/>
        </w:trPr>
        <w:tc>
          <w:tcPr>
            <w:tcW w:w="5540" w:type="dxa"/>
            <w:vAlign w:val="bottom"/>
          </w:tcPr>
          <w:p w:rsidR="001C4983" w:rsidRPr="007D6479" w:rsidRDefault="001C4983" w:rsidP="005A76EC">
            <w:pPr>
              <w:rPr>
                <w:color w:val="000000"/>
                <w:sz w:val="24"/>
                <w:szCs w:val="24"/>
              </w:rPr>
            </w:pPr>
            <w:r w:rsidRPr="007D6479">
              <w:rPr>
                <w:color w:val="000000"/>
                <w:sz w:val="24"/>
                <w:szCs w:val="24"/>
              </w:rPr>
              <w:t>09-МП «Муниципальное управление»</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 xml:space="preserve"> 91 970,0</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93 717,7</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101,9</w:t>
            </w:r>
          </w:p>
        </w:tc>
      </w:tr>
      <w:tr w:rsidR="001C4983" w:rsidRPr="007D6479">
        <w:trPr>
          <w:trHeight w:val="288"/>
        </w:trPr>
        <w:tc>
          <w:tcPr>
            <w:tcW w:w="5540" w:type="dxa"/>
            <w:vAlign w:val="bottom"/>
          </w:tcPr>
          <w:p w:rsidR="001C4983" w:rsidRPr="007D6479" w:rsidRDefault="001C4983" w:rsidP="005A76EC">
            <w:pPr>
              <w:rPr>
                <w:color w:val="000000"/>
                <w:sz w:val="24"/>
                <w:szCs w:val="24"/>
              </w:rPr>
            </w:pPr>
            <w:r w:rsidRPr="007D6479">
              <w:rPr>
                <w:color w:val="000000"/>
                <w:sz w:val="24"/>
                <w:szCs w:val="24"/>
              </w:rPr>
              <w:t>10-МП «Управление муниципальными финансами»</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 xml:space="preserve"> 7 095,2</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5 311,3</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74,9</w:t>
            </w:r>
          </w:p>
        </w:tc>
      </w:tr>
      <w:tr w:rsidR="001C4983" w:rsidRPr="007D6479">
        <w:trPr>
          <w:trHeight w:val="804"/>
        </w:trPr>
        <w:tc>
          <w:tcPr>
            <w:tcW w:w="5540" w:type="dxa"/>
            <w:vAlign w:val="bottom"/>
          </w:tcPr>
          <w:p w:rsidR="001C4983" w:rsidRPr="007D6479" w:rsidRDefault="001C4983" w:rsidP="005A76EC">
            <w:pPr>
              <w:rPr>
                <w:color w:val="000000"/>
                <w:sz w:val="24"/>
                <w:szCs w:val="24"/>
              </w:rPr>
            </w:pPr>
            <w:r w:rsidRPr="007D6479">
              <w:rPr>
                <w:color w:val="000000"/>
                <w:sz w:val="24"/>
                <w:szCs w:val="24"/>
              </w:rPr>
              <w:t xml:space="preserve">11-МП «Противодействие незаконному обороту наркотических средств, профилактика наркомании в Сюмсинском районе» </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27,3</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45,3</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16,6</w:t>
            </w:r>
          </w:p>
        </w:tc>
      </w:tr>
      <w:tr w:rsidR="001C4983" w:rsidRPr="007D6479">
        <w:trPr>
          <w:trHeight w:val="288"/>
        </w:trPr>
        <w:tc>
          <w:tcPr>
            <w:tcW w:w="5540" w:type="dxa"/>
            <w:vAlign w:val="bottom"/>
          </w:tcPr>
          <w:p w:rsidR="001C4983" w:rsidRPr="007D6479" w:rsidRDefault="001C4983" w:rsidP="005A76EC">
            <w:pPr>
              <w:rPr>
                <w:color w:val="000000"/>
                <w:sz w:val="24"/>
                <w:szCs w:val="24"/>
              </w:rPr>
            </w:pPr>
            <w:r w:rsidRPr="007D6479">
              <w:rPr>
                <w:color w:val="000000"/>
                <w:sz w:val="24"/>
                <w:szCs w:val="24"/>
              </w:rPr>
              <w:t>12-МП «Укрепление общественного здоровья»</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0,00</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5,0</w:t>
            </w:r>
          </w:p>
        </w:tc>
        <w:tc>
          <w:tcPr>
            <w:tcW w:w="1650" w:type="dxa"/>
            <w:noWrap/>
            <w:vAlign w:val="center"/>
          </w:tcPr>
          <w:p w:rsidR="001C4983" w:rsidRPr="007D6479" w:rsidRDefault="001C4983" w:rsidP="005A76EC">
            <w:pPr>
              <w:jc w:val="center"/>
              <w:rPr>
                <w:color w:val="000000"/>
                <w:sz w:val="24"/>
                <w:szCs w:val="24"/>
              </w:rPr>
            </w:pPr>
          </w:p>
        </w:tc>
      </w:tr>
      <w:tr w:rsidR="001C4983" w:rsidRPr="007D6479">
        <w:trPr>
          <w:trHeight w:val="288"/>
        </w:trPr>
        <w:tc>
          <w:tcPr>
            <w:tcW w:w="5540" w:type="dxa"/>
            <w:vAlign w:val="bottom"/>
          </w:tcPr>
          <w:p w:rsidR="001C4983" w:rsidRPr="007D6479" w:rsidRDefault="001C4983" w:rsidP="005A76EC">
            <w:pPr>
              <w:rPr>
                <w:color w:val="000000"/>
                <w:sz w:val="24"/>
                <w:szCs w:val="24"/>
              </w:rPr>
            </w:pPr>
            <w:r w:rsidRPr="007D6479">
              <w:rPr>
                <w:color w:val="000000"/>
                <w:sz w:val="24"/>
                <w:szCs w:val="24"/>
              </w:rPr>
              <w:t>13-МП «Формирование современной городской среды на территории муниципального образования «Муниципальный округ Сюмсинский район удмуртской Республики»</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1 933,6</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2 556,5</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132,2</w:t>
            </w:r>
          </w:p>
        </w:tc>
      </w:tr>
      <w:tr w:rsidR="001C4983" w:rsidRPr="007D6479">
        <w:trPr>
          <w:trHeight w:val="288"/>
        </w:trPr>
        <w:tc>
          <w:tcPr>
            <w:tcW w:w="5540" w:type="dxa"/>
            <w:vAlign w:val="bottom"/>
          </w:tcPr>
          <w:p w:rsidR="001C4983" w:rsidRPr="007D6479" w:rsidRDefault="001C4983" w:rsidP="005A76EC">
            <w:pPr>
              <w:rPr>
                <w:color w:val="000000"/>
                <w:sz w:val="24"/>
                <w:szCs w:val="24"/>
              </w:rPr>
            </w:pPr>
            <w:r w:rsidRPr="007D6479">
              <w:rPr>
                <w:color w:val="000000"/>
                <w:sz w:val="24"/>
                <w:szCs w:val="24"/>
              </w:rPr>
              <w:t>14-МП «Комплексное развитие сельских территорий»</w:t>
            </w:r>
          </w:p>
        </w:tc>
        <w:tc>
          <w:tcPr>
            <w:tcW w:w="1276" w:type="dxa"/>
            <w:vAlign w:val="center"/>
          </w:tcPr>
          <w:p w:rsidR="001C4983" w:rsidRPr="007D6479" w:rsidRDefault="001C4983" w:rsidP="005A76EC">
            <w:pPr>
              <w:jc w:val="center"/>
              <w:rPr>
                <w:color w:val="000000"/>
                <w:sz w:val="24"/>
                <w:szCs w:val="24"/>
              </w:rPr>
            </w:pPr>
            <w:r w:rsidRPr="007D6479">
              <w:rPr>
                <w:color w:val="000000"/>
                <w:sz w:val="24"/>
                <w:szCs w:val="24"/>
              </w:rPr>
              <w:t>8 958,3</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8 503,1</w:t>
            </w:r>
          </w:p>
        </w:tc>
        <w:tc>
          <w:tcPr>
            <w:tcW w:w="1650" w:type="dxa"/>
            <w:noWrap/>
            <w:vAlign w:val="center"/>
          </w:tcPr>
          <w:p w:rsidR="001C4983" w:rsidRPr="007D6479" w:rsidRDefault="001C4983" w:rsidP="005A76EC">
            <w:pPr>
              <w:jc w:val="center"/>
              <w:rPr>
                <w:color w:val="000000"/>
                <w:sz w:val="24"/>
                <w:szCs w:val="24"/>
              </w:rPr>
            </w:pPr>
            <w:r w:rsidRPr="007D6479">
              <w:rPr>
                <w:color w:val="000000"/>
                <w:sz w:val="24"/>
                <w:szCs w:val="24"/>
              </w:rPr>
              <w:t>94,9</w:t>
            </w:r>
          </w:p>
        </w:tc>
      </w:tr>
      <w:tr w:rsidR="001C4983" w:rsidRPr="007D6479">
        <w:trPr>
          <w:trHeight w:val="288"/>
        </w:trPr>
        <w:tc>
          <w:tcPr>
            <w:tcW w:w="5540" w:type="dxa"/>
            <w:vAlign w:val="bottom"/>
          </w:tcPr>
          <w:p w:rsidR="001C4983" w:rsidRPr="007D6479" w:rsidRDefault="001C4983" w:rsidP="005A76EC">
            <w:pPr>
              <w:rPr>
                <w:color w:val="000000"/>
                <w:sz w:val="24"/>
                <w:szCs w:val="24"/>
              </w:rPr>
            </w:pPr>
            <w:r w:rsidRPr="007D6479">
              <w:rPr>
                <w:color w:val="000000"/>
                <w:sz w:val="24"/>
                <w:szCs w:val="24"/>
              </w:rPr>
              <w:t>15-МП «Содействие развитию и поддержка социально ориентированных некоммерческих организаций, осуществляющих деятельность на территории муниципального образования»</w:t>
            </w:r>
          </w:p>
        </w:tc>
        <w:tc>
          <w:tcPr>
            <w:tcW w:w="1276" w:type="dxa"/>
            <w:vAlign w:val="center"/>
          </w:tcPr>
          <w:p w:rsidR="001C4983" w:rsidRPr="007D6479" w:rsidRDefault="001C4983" w:rsidP="00B406E6">
            <w:pPr>
              <w:widowControl/>
              <w:autoSpaceDE/>
              <w:autoSpaceDN/>
              <w:adjustRightInd/>
              <w:jc w:val="center"/>
              <w:rPr>
                <w:color w:val="000000"/>
                <w:sz w:val="24"/>
                <w:szCs w:val="24"/>
              </w:rPr>
            </w:pPr>
            <w:r w:rsidRPr="007D6479">
              <w:rPr>
                <w:color w:val="000000"/>
                <w:sz w:val="24"/>
                <w:szCs w:val="24"/>
              </w:rPr>
              <w:t>0,0</w:t>
            </w:r>
          </w:p>
        </w:tc>
        <w:tc>
          <w:tcPr>
            <w:tcW w:w="1184" w:type="dxa"/>
            <w:noWrap/>
            <w:vAlign w:val="center"/>
          </w:tcPr>
          <w:p w:rsidR="001C4983" w:rsidRPr="007D6479" w:rsidRDefault="001C4983" w:rsidP="005A76EC">
            <w:pPr>
              <w:jc w:val="center"/>
              <w:rPr>
                <w:color w:val="000000"/>
                <w:sz w:val="24"/>
                <w:szCs w:val="24"/>
              </w:rPr>
            </w:pPr>
            <w:r w:rsidRPr="007D6479">
              <w:rPr>
                <w:color w:val="000000"/>
                <w:sz w:val="24"/>
                <w:szCs w:val="24"/>
              </w:rPr>
              <w:t>14,0</w:t>
            </w:r>
          </w:p>
        </w:tc>
        <w:tc>
          <w:tcPr>
            <w:tcW w:w="1650" w:type="dxa"/>
            <w:noWrap/>
            <w:vAlign w:val="center"/>
          </w:tcPr>
          <w:p w:rsidR="001C4983" w:rsidRPr="007D6479" w:rsidRDefault="001C4983" w:rsidP="005A76EC">
            <w:pPr>
              <w:jc w:val="center"/>
              <w:rPr>
                <w:color w:val="000000"/>
                <w:sz w:val="24"/>
                <w:szCs w:val="24"/>
              </w:rPr>
            </w:pPr>
          </w:p>
        </w:tc>
      </w:tr>
    </w:tbl>
    <w:p w:rsidR="001C4983" w:rsidRPr="007D6479" w:rsidRDefault="001C4983" w:rsidP="006145C0">
      <w:pPr>
        <w:tabs>
          <w:tab w:val="num" w:pos="180"/>
        </w:tabs>
        <w:ind w:right="-1" w:firstLine="709"/>
        <w:jc w:val="both"/>
        <w:rPr>
          <w:sz w:val="24"/>
          <w:szCs w:val="24"/>
        </w:rPr>
      </w:pPr>
      <w:r w:rsidRPr="007D6479">
        <w:rPr>
          <w:sz w:val="24"/>
          <w:szCs w:val="24"/>
        </w:rPr>
        <w:t xml:space="preserve">Уточненный план по непрограммным направлениям деятельности составил      </w:t>
      </w:r>
      <w:r w:rsidRPr="007D6479">
        <w:rPr>
          <w:color w:val="000000"/>
          <w:sz w:val="24"/>
          <w:szCs w:val="24"/>
        </w:rPr>
        <w:t xml:space="preserve">5 104,9 </w:t>
      </w:r>
      <w:r w:rsidRPr="007D6479">
        <w:rPr>
          <w:sz w:val="24"/>
          <w:szCs w:val="24"/>
        </w:rPr>
        <w:t xml:space="preserve">тыс. руб., кассовые расходы – </w:t>
      </w:r>
      <w:r w:rsidRPr="007D6479">
        <w:rPr>
          <w:color w:val="000000"/>
          <w:sz w:val="24"/>
          <w:szCs w:val="24"/>
        </w:rPr>
        <w:t xml:space="preserve">5 026,5 </w:t>
      </w:r>
      <w:r w:rsidRPr="007D6479">
        <w:rPr>
          <w:sz w:val="24"/>
          <w:szCs w:val="24"/>
        </w:rPr>
        <w:t>тыс. руб., что составляет 98,5% от уточненного плана или 0,7% в общей сумме расходов за 2023 год.</w:t>
      </w:r>
    </w:p>
    <w:p w:rsidR="001C4983" w:rsidRPr="007D6479" w:rsidRDefault="001C4983" w:rsidP="006145C0">
      <w:pPr>
        <w:ind w:right="-1" w:firstLine="709"/>
        <w:jc w:val="both"/>
        <w:rPr>
          <w:sz w:val="24"/>
          <w:szCs w:val="24"/>
        </w:rPr>
      </w:pPr>
      <w:r w:rsidRPr="007D6479">
        <w:rPr>
          <w:sz w:val="24"/>
          <w:szCs w:val="24"/>
        </w:rPr>
        <w:t xml:space="preserve">Расходы за счет средств резервного фонда не производились, уточненный план (50,0 тыс. руб.). </w:t>
      </w:r>
    </w:p>
    <w:p w:rsidR="001C4983" w:rsidRPr="007D6479" w:rsidRDefault="001C4983" w:rsidP="006145C0">
      <w:pPr>
        <w:pStyle w:val="BodyText"/>
        <w:widowControl w:val="0"/>
        <w:spacing w:after="0"/>
        <w:ind w:right="-1" w:firstLine="709"/>
        <w:jc w:val="both"/>
        <w:rPr>
          <w:sz w:val="24"/>
          <w:szCs w:val="24"/>
        </w:rPr>
      </w:pPr>
      <w:r w:rsidRPr="007D6479">
        <w:rPr>
          <w:sz w:val="24"/>
          <w:szCs w:val="24"/>
        </w:rPr>
        <w:t>Уточненный объем бюджетных ассигнований, направляемых на исполнение публичных нормативных обязательств в 2023 году, составляет 1 560,2 тыс. руб., исполнено – 1 560,2 тыс. руб. или 100%.</w:t>
      </w:r>
    </w:p>
    <w:p w:rsidR="001C4983" w:rsidRPr="007D6479" w:rsidRDefault="001C4983" w:rsidP="006145C0">
      <w:pPr>
        <w:pStyle w:val="BodyText"/>
        <w:widowControl w:val="0"/>
        <w:spacing w:after="0"/>
        <w:ind w:right="-1" w:firstLine="709"/>
        <w:jc w:val="both"/>
        <w:rPr>
          <w:sz w:val="24"/>
          <w:szCs w:val="24"/>
        </w:rPr>
      </w:pPr>
      <w:r w:rsidRPr="007D6479">
        <w:rPr>
          <w:sz w:val="24"/>
          <w:szCs w:val="24"/>
        </w:rPr>
        <w:t xml:space="preserve">Фактическое исполнение бюджета муниципального образования «Муниципальный округ Сюмсинский район Удмуртской Республики» за 2023 год исполнен с дефицитом в сумме 5 212,5 тыс. руб. На финансирование дефицита бюджета направлены </w:t>
      </w:r>
      <w:r w:rsidRPr="007D6479">
        <w:rPr>
          <w:color w:val="000000"/>
          <w:sz w:val="24"/>
          <w:szCs w:val="24"/>
        </w:rPr>
        <w:t>остатки средств с единого счета бюджета по состоянию на 1 января 2023 года в сумме 5 212,5 тыс. руб.</w:t>
      </w:r>
    </w:p>
    <w:p w:rsidR="001C4983" w:rsidRPr="007D6479" w:rsidRDefault="001C4983" w:rsidP="006145C0">
      <w:pPr>
        <w:ind w:firstLine="720"/>
        <w:jc w:val="both"/>
        <w:rPr>
          <w:sz w:val="24"/>
          <w:szCs w:val="24"/>
        </w:rPr>
      </w:pPr>
      <w:r w:rsidRPr="007D6479">
        <w:rPr>
          <w:sz w:val="24"/>
          <w:szCs w:val="24"/>
        </w:rPr>
        <w:t>Решением бюджета с изменениями верхний предел муниципального внутреннего долга по состоянию на 1 января 2024 года утвержден в сумме 47 548,5 тыс. руб., в том числе верхний предел по муниципальным гарантиям муниципального образования в сумме 0,00 тыс. руб.</w:t>
      </w:r>
    </w:p>
    <w:p w:rsidR="001C4983" w:rsidRPr="007D6479" w:rsidRDefault="001C4983" w:rsidP="006145C0">
      <w:pPr>
        <w:tabs>
          <w:tab w:val="left" w:pos="709"/>
        </w:tabs>
        <w:ind w:right="-1" w:firstLine="709"/>
        <w:jc w:val="both"/>
        <w:rPr>
          <w:color w:val="FF0000"/>
          <w:sz w:val="24"/>
          <w:szCs w:val="24"/>
        </w:rPr>
      </w:pPr>
      <w:r w:rsidRPr="007D6479">
        <w:rPr>
          <w:sz w:val="24"/>
          <w:szCs w:val="24"/>
        </w:rPr>
        <w:t>Решением о бюджете с изменениями на 2023 год предусмотрен объем расходов на обслуживание муниципального долга в размере 48,5 тыс. руб. По данным Отчета об исполнении бюджета (ф. 0503117) обслуживание муниципального долга составило 48,5тыс. руб. или 100% от бюджетных назначений.</w:t>
      </w:r>
    </w:p>
    <w:p w:rsidR="001C4983" w:rsidRPr="007D6479" w:rsidRDefault="001C4983" w:rsidP="006145C0">
      <w:pPr>
        <w:tabs>
          <w:tab w:val="left" w:pos="709"/>
        </w:tabs>
        <w:ind w:right="21" w:firstLine="709"/>
        <w:jc w:val="both"/>
        <w:rPr>
          <w:sz w:val="24"/>
          <w:szCs w:val="24"/>
        </w:rPr>
      </w:pPr>
      <w:r w:rsidRPr="007D6479">
        <w:rPr>
          <w:sz w:val="24"/>
          <w:szCs w:val="24"/>
        </w:rPr>
        <w:t xml:space="preserve">По результатам внешней проверки годового отчета об исполнении бюджета муниципального образования «Муниципальный округ Сюмсинский район Удмуртской Республики» за 2023 год составлено соответствующее заключение от </w:t>
      </w:r>
      <w:r w:rsidRPr="005A770C">
        <w:rPr>
          <w:sz w:val="24"/>
          <w:szCs w:val="24"/>
        </w:rPr>
        <w:t>10</w:t>
      </w:r>
      <w:r w:rsidRPr="007D6479">
        <w:rPr>
          <w:sz w:val="24"/>
          <w:szCs w:val="24"/>
        </w:rPr>
        <w:t xml:space="preserve"> апреля 2024 года.</w:t>
      </w:r>
    </w:p>
    <w:p w:rsidR="001C4983" w:rsidRPr="007D6479" w:rsidRDefault="001C4983" w:rsidP="006145C0">
      <w:pPr>
        <w:tabs>
          <w:tab w:val="left" w:pos="709"/>
        </w:tabs>
        <w:ind w:right="21" w:firstLine="709"/>
        <w:jc w:val="both"/>
        <w:rPr>
          <w:sz w:val="24"/>
          <w:szCs w:val="24"/>
        </w:rPr>
      </w:pPr>
      <w:r w:rsidRPr="007D6479">
        <w:rPr>
          <w:sz w:val="24"/>
          <w:szCs w:val="24"/>
        </w:rPr>
        <w:t>Контрольно–счетным органом муниципального образования «Муниципальный округ Сюмсинский район Удмуртской Республики» рекомендовано Совету депутатов муниципального образования «Муниципальный округ Сюмсинский район Удмуртской Республики» принять проект Решения об исполнении бюджета.</w:t>
      </w:r>
      <w:bookmarkStart w:id="0" w:name="_GoBack"/>
      <w:bookmarkEnd w:id="0"/>
      <w:r w:rsidRPr="007D6479">
        <w:rPr>
          <w:sz w:val="24"/>
          <w:szCs w:val="24"/>
        </w:rPr>
        <w:t xml:space="preserve"> </w:t>
      </w:r>
    </w:p>
    <w:p w:rsidR="001C4983" w:rsidRPr="007D6479" w:rsidRDefault="001C4983" w:rsidP="00EC78C0">
      <w:pPr>
        <w:pStyle w:val="NormalWeb"/>
        <w:shd w:val="clear" w:color="auto" w:fill="FFFFFF"/>
        <w:spacing w:after="0"/>
        <w:jc w:val="both"/>
        <w:rPr>
          <w:rFonts w:ascii="Times New Roman" w:hAnsi="Times New Roman" w:cs="Times New Roman"/>
          <w:sz w:val="24"/>
          <w:szCs w:val="24"/>
        </w:rPr>
      </w:pPr>
    </w:p>
    <w:p w:rsidR="001C4983" w:rsidRPr="007D6479" w:rsidRDefault="001C4983">
      <w:pPr>
        <w:rPr>
          <w:b/>
          <w:bCs/>
          <w:sz w:val="24"/>
          <w:szCs w:val="24"/>
        </w:rPr>
      </w:pPr>
    </w:p>
    <w:sectPr w:rsidR="001C4983" w:rsidRPr="007D6479" w:rsidSect="001A0AD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51490"/>
    <w:multiLevelType w:val="hybridMultilevel"/>
    <w:tmpl w:val="ACC80CA4"/>
    <w:lvl w:ilvl="0" w:tplc="65A04544">
      <w:start w:val="1"/>
      <w:numFmt w:val="decimal"/>
      <w:lvlText w:val="%1."/>
      <w:lvlJc w:val="left"/>
      <w:pPr>
        <w:ind w:left="1429" w:hanging="360"/>
      </w:pPr>
      <w:rPr>
        <w:b/>
        <w:bCs/>
      </w:r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6E16AD"/>
    <w:multiLevelType w:val="hybridMultilevel"/>
    <w:tmpl w:val="1E089DB2"/>
    <w:lvl w:ilvl="0" w:tplc="667C3FE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F753637"/>
    <w:multiLevelType w:val="hybridMultilevel"/>
    <w:tmpl w:val="3C5634BE"/>
    <w:lvl w:ilvl="0" w:tplc="667C3F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3E97585"/>
    <w:multiLevelType w:val="hybridMultilevel"/>
    <w:tmpl w:val="72128B64"/>
    <w:lvl w:ilvl="0" w:tplc="7E3070F6">
      <w:start w:val="1"/>
      <w:numFmt w:val="decimal"/>
      <w:lvlText w:val="%1."/>
      <w:lvlJc w:val="left"/>
      <w:pPr>
        <w:tabs>
          <w:tab w:val="num" w:pos="360"/>
        </w:tabs>
        <w:ind w:left="360" w:hanging="360"/>
      </w:pPr>
      <w:rPr>
        <w:rFonts w:ascii="Times New Roman" w:hAnsi="Times New Roman" w:cs="Times New Roman" w:hint="default"/>
        <w:b/>
        <w:bCs/>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5">
    <w:nsid w:val="14301BCC"/>
    <w:multiLevelType w:val="hybridMultilevel"/>
    <w:tmpl w:val="2DE4E2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BCC1999"/>
    <w:multiLevelType w:val="hybridMultilevel"/>
    <w:tmpl w:val="71E2707C"/>
    <w:lvl w:ilvl="0" w:tplc="667C3F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D840FE2"/>
    <w:multiLevelType w:val="hybridMultilevel"/>
    <w:tmpl w:val="E9449446"/>
    <w:lvl w:ilvl="0" w:tplc="D1D0D68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F0E1C8C"/>
    <w:multiLevelType w:val="hybridMultilevel"/>
    <w:tmpl w:val="D06A0B02"/>
    <w:lvl w:ilvl="0" w:tplc="667C3FE4">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9">
    <w:nsid w:val="1F3432E8"/>
    <w:multiLevelType w:val="hybridMultilevel"/>
    <w:tmpl w:val="401E1B12"/>
    <w:lvl w:ilvl="0" w:tplc="667C3F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45046F4"/>
    <w:multiLevelType w:val="hybridMultilevel"/>
    <w:tmpl w:val="6B2C06C4"/>
    <w:lvl w:ilvl="0" w:tplc="667C3FE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4E0547A"/>
    <w:multiLevelType w:val="hybridMultilevel"/>
    <w:tmpl w:val="03C2A390"/>
    <w:lvl w:ilvl="0" w:tplc="667C3FE4">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8BA0F12"/>
    <w:multiLevelType w:val="hybridMultilevel"/>
    <w:tmpl w:val="D268658C"/>
    <w:lvl w:ilvl="0" w:tplc="667C3FE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2938164F"/>
    <w:multiLevelType w:val="hybridMultilevel"/>
    <w:tmpl w:val="0E0EB588"/>
    <w:lvl w:ilvl="0" w:tplc="667C3F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9530A52"/>
    <w:multiLevelType w:val="hybridMultilevel"/>
    <w:tmpl w:val="1F2AE804"/>
    <w:lvl w:ilvl="0" w:tplc="667C3F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052113"/>
    <w:multiLevelType w:val="hybridMultilevel"/>
    <w:tmpl w:val="56E899D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9C7813"/>
    <w:multiLevelType w:val="hybridMultilevel"/>
    <w:tmpl w:val="56E899D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BC514D"/>
    <w:multiLevelType w:val="hybridMultilevel"/>
    <w:tmpl w:val="56E899D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FB5D33"/>
    <w:multiLevelType w:val="hybridMultilevel"/>
    <w:tmpl w:val="56E899D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5A7146"/>
    <w:multiLevelType w:val="hybridMultilevel"/>
    <w:tmpl w:val="BDE0D908"/>
    <w:lvl w:ilvl="0" w:tplc="667C3FE4">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44F07660"/>
    <w:multiLevelType w:val="hybridMultilevel"/>
    <w:tmpl w:val="00CE175A"/>
    <w:lvl w:ilvl="0" w:tplc="667C3F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8355B82"/>
    <w:multiLevelType w:val="hybridMultilevel"/>
    <w:tmpl w:val="9BFEF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1567A5"/>
    <w:multiLevelType w:val="hybridMultilevel"/>
    <w:tmpl w:val="1A1E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9A3878"/>
    <w:multiLevelType w:val="hybridMultilevel"/>
    <w:tmpl w:val="85382CE2"/>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25">
    <w:nsid w:val="4EDA3CA0"/>
    <w:multiLevelType w:val="hybridMultilevel"/>
    <w:tmpl w:val="F4FE3CBA"/>
    <w:lvl w:ilvl="0" w:tplc="667C3F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0824426"/>
    <w:multiLevelType w:val="hybridMultilevel"/>
    <w:tmpl w:val="70BA0CF6"/>
    <w:lvl w:ilvl="0" w:tplc="7964946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534259CB"/>
    <w:multiLevelType w:val="multilevel"/>
    <w:tmpl w:val="3786736E"/>
    <w:lvl w:ilvl="0">
      <w:start w:val="3"/>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57082418"/>
    <w:multiLevelType w:val="hybridMultilevel"/>
    <w:tmpl w:val="8566FA96"/>
    <w:lvl w:ilvl="0" w:tplc="951CC424">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AE95F46"/>
    <w:multiLevelType w:val="hybridMultilevel"/>
    <w:tmpl w:val="25F47C6C"/>
    <w:lvl w:ilvl="0" w:tplc="E3523FAE">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BC4327E"/>
    <w:multiLevelType w:val="hybridMultilevel"/>
    <w:tmpl w:val="56E899D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CD1746"/>
    <w:multiLevelType w:val="hybridMultilevel"/>
    <w:tmpl w:val="2F98273A"/>
    <w:lvl w:ilvl="0" w:tplc="667C3FE4">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0491B37"/>
    <w:multiLevelType w:val="multilevel"/>
    <w:tmpl w:val="DFE87AD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64FE2F9D"/>
    <w:multiLevelType w:val="hybridMultilevel"/>
    <w:tmpl w:val="449EC55E"/>
    <w:lvl w:ilvl="0" w:tplc="A7167454">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1E4FDE"/>
    <w:multiLevelType w:val="hybridMultilevel"/>
    <w:tmpl w:val="842851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8804628"/>
    <w:multiLevelType w:val="hybridMultilevel"/>
    <w:tmpl w:val="766EEB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9623221"/>
    <w:multiLevelType w:val="multilevel"/>
    <w:tmpl w:val="C1848DF0"/>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1FE5AE9"/>
    <w:multiLevelType w:val="hybridMultilevel"/>
    <w:tmpl w:val="B8B68DD8"/>
    <w:lvl w:ilvl="0" w:tplc="667C3F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2B15230"/>
    <w:multiLevelType w:val="hybridMultilevel"/>
    <w:tmpl w:val="6632F618"/>
    <w:lvl w:ilvl="0" w:tplc="49243AA6">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CFF24E5"/>
    <w:multiLevelType w:val="hybridMultilevel"/>
    <w:tmpl w:val="55D087AE"/>
    <w:lvl w:ilvl="0" w:tplc="667C3F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
  </w:num>
  <w:num w:numId="5">
    <w:abstractNumId w:val="8"/>
  </w:num>
  <w:num w:numId="6">
    <w:abstractNumId w:val="7"/>
  </w:num>
  <w:num w:numId="7">
    <w:abstractNumId w:val="38"/>
  </w:num>
  <w:num w:numId="8">
    <w:abstractNumId w:val="37"/>
  </w:num>
  <w:num w:numId="9">
    <w:abstractNumId w:val="29"/>
  </w:num>
  <w:num w:numId="10">
    <w:abstractNumId w:val="23"/>
  </w:num>
  <w:num w:numId="11">
    <w:abstractNumId w:val="22"/>
  </w:num>
  <w:num w:numId="12">
    <w:abstractNumId w:val="4"/>
  </w:num>
  <w:num w:numId="13">
    <w:abstractNumId w:val="34"/>
  </w:num>
  <w:num w:numId="14">
    <w:abstractNumId w:val="32"/>
  </w:num>
  <w:num w:numId="15">
    <w:abstractNumId w:val="27"/>
  </w:num>
  <w:num w:numId="16">
    <w:abstractNumId w:val="26"/>
  </w:num>
  <w:num w:numId="17">
    <w:abstractNumId w:val="2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1"/>
  </w:num>
  <w:num w:numId="22">
    <w:abstractNumId w:val="1"/>
  </w:num>
  <w:num w:numId="23">
    <w:abstractNumId w:val="6"/>
  </w:num>
  <w:num w:numId="24">
    <w:abstractNumId w:val="12"/>
  </w:num>
  <w:num w:numId="25">
    <w:abstractNumId w:val="13"/>
  </w:num>
  <w:num w:numId="26">
    <w:abstractNumId w:val="25"/>
  </w:num>
  <w:num w:numId="27">
    <w:abstractNumId w:val="10"/>
  </w:num>
  <w:num w:numId="28">
    <w:abstractNumId w:val="35"/>
  </w:num>
  <w:num w:numId="29">
    <w:abstractNumId w:val="11"/>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 w:numId="33">
    <w:abstractNumId w:val="9"/>
  </w:num>
  <w:num w:numId="34">
    <w:abstractNumId w:val="17"/>
  </w:num>
  <w:num w:numId="35">
    <w:abstractNumId w:val="18"/>
  </w:num>
  <w:num w:numId="36">
    <w:abstractNumId w:val="5"/>
  </w:num>
  <w:num w:numId="37">
    <w:abstractNumId w:val="39"/>
  </w:num>
  <w:num w:numId="38">
    <w:abstractNumId w:val="3"/>
  </w:num>
  <w:num w:numId="39">
    <w:abstractNumId w:val="16"/>
  </w:num>
  <w:num w:numId="40">
    <w:abstractNumId w:val="14"/>
  </w:num>
  <w:num w:numId="41">
    <w:abstractNumId w:val="19"/>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D5F"/>
    <w:rsid w:val="00003DB4"/>
    <w:rsid w:val="00020FEE"/>
    <w:rsid w:val="00066439"/>
    <w:rsid w:val="00066819"/>
    <w:rsid w:val="00091F76"/>
    <w:rsid w:val="000B5C6D"/>
    <w:rsid w:val="000C7E6A"/>
    <w:rsid w:val="000E5E20"/>
    <w:rsid w:val="000F2E10"/>
    <w:rsid w:val="00101437"/>
    <w:rsid w:val="00113923"/>
    <w:rsid w:val="00131D42"/>
    <w:rsid w:val="00133C17"/>
    <w:rsid w:val="0013607C"/>
    <w:rsid w:val="0018108F"/>
    <w:rsid w:val="0019538C"/>
    <w:rsid w:val="001A0ADC"/>
    <w:rsid w:val="001A25D1"/>
    <w:rsid w:val="001C2E79"/>
    <w:rsid w:val="001C4983"/>
    <w:rsid w:val="001D24F5"/>
    <w:rsid w:val="001E0567"/>
    <w:rsid w:val="001F516A"/>
    <w:rsid w:val="002264F2"/>
    <w:rsid w:val="002367D1"/>
    <w:rsid w:val="0025023B"/>
    <w:rsid w:val="00260E63"/>
    <w:rsid w:val="002A568B"/>
    <w:rsid w:val="002B125A"/>
    <w:rsid w:val="00317472"/>
    <w:rsid w:val="003637D6"/>
    <w:rsid w:val="00371C1D"/>
    <w:rsid w:val="003906E5"/>
    <w:rsid w:val="00392DDB"/>
    <w:rsid w:val="003F2631"/>
    <w:rsid w:val="00443EC2"/>
    <w:rsid w:val="004449F3"/>
    <w:rsid w:val="004552CA"/>
    <w:rsid w:val="00456764"/>
    <w:rsid w:val="00470C82"/>
    <w:rsid w:val="0047421C"/>
    <w:rsid w:val="00482893"/>
    <w:rsid w:val="00484682"/>
    <w:rsid w:val="00486DF7"/>
    <w:rsid w:val="00491183"/>
    <w:rsid w:val="00497856"/>
    <w:rsid w:val="004A7D5F"/>
    <w:rsid w:val="004C657C"/>
    <w:rsid w:val="004F5F72"/>
    <w:rsid w:val="00503BB1"/>
    <w:rsid w:val="005123C3"/>
    <w:rsid w:val="00521011"/>
    <w:rsid w:val="00521D98"/>
    <w:rsid w:val="00527DC6"/>
    <w:rsid w:val="00537F9D"/>
    <w:rsid w:val="00547D9E"/>
    <w:rsid w:val="00566B18"/>
    <w:rsid w:val="00583B27"/>
    <w:rsid w:val="005A2627"/>
    <w:rsid w:val="005A76EC"/>
    <w:rsid w:val="005A770C"/>
    <w:rsid w:val="005C0D27"/>
    <w:rsid w:val="005F3576"/>
    <w:rsid w:val="00601B56"/>
    <w:rsid w:val="006145C0"/>
    <w:rsid w:val="00636770"/>
    <w:rsid w:val="006728B7"/>
    <w:rsid w:val="0067381C"/>
    <w:rsid w:val="00680089"/>
    <w:rsid w:val="006A542D"/>
    <w:rsid w:val="006A6E03"/>
    <w:rsid w:val="006B6F21"/>
    <w:rsid w:val="006C58A1"/>
    <w:rsid w:val="006D32E1"/>
    <w:rsid w:val="006F02EE"/>
    <w:rsid w:val="00702B6B"/>
    <w:rsid w:val="00704CFB"/>
    <w:rsid w:val="00752B9F"/>
    <w:rsid w:val="00767107"/>
    <w:rsid w:val="007C2BA8"/>
    <w:rsid w:val="007C7EDE"/>
    <w:rsid w:val="007D58CC"/>
    <w:rsid w:val="007D6479"/>
    <w:rsid w:val="007E0288"/>
    <w:rsid w:val="007F0B67"/>
    <w:rsid w:val="007F7108"/>
    <w:rsid w:val="00852A2C"/>
    <w:rsid w:val="00855914"/>
    <w:rsid w:val="0087766E"/>
    <w:rsid w:val="008923F7"/>
    <w:rsid w:val="008B0C4E"/>
    <w:rsid w:val="008D1BED"/>
    <w:rsid w:val="008D3AB9"/>
    <w:rsid w:val="008D4874"/>
    <w:rsid w:val="00913C8E"/>
    <w:rsid w:val="009525B2"/>
    <w:rsid w:val="00955532"/>
    <w:rsid w:val="00956AAF"/>
    <w:rsid w:val="0096101B"/>
    <w:rsid w:val="00993E99"/>
    <w:rsid w:val="009D0541"/>
    <w:rsid w:val="009D159A"/>
    <w:rsid w:val="009E03EB"/>
    <w:rsid w:val="00A00F08"/>
    <w:rsid w:val="00A17F5D"/>
    <w:rsid w:val="00A22380"/>
    <w:rsid w:val="00A2548D"/>
    <w:rsid w:val="00A30588"/>
    <w:rsid w:val="00A41FD3"/>
    <w:rsid w:val="00A669ED"/>
    <w:rsid w:val="00A72D1A"/>
    <w:rsid w:val="00A741B3"/>
    <w:rsid w:val="00AD553B"/>
    <w:rsid w:val="00AF689F"/>
    <w:rsid w:val="00AF7D44"/>
    <w:rsid w:val="00B25EDE"/>
    <w:rsid w:val="00B26F8F"/>
    <w:rsid w:val="00B406E6"/>
    <w:rsid w:val="00B51A68"/>
    <w:rsid w:val="00B723EA"/>
    <w:rsid w:val="00B85D68"/>
    <w:rsid w:val="00B879CC"/>
    <w:rsid w:val="00BC7395"/>
    <w:rsid w:val="00BD2590"/>
    <w:rsid w:val="00BE6C77"/>
    <w:rsid w:val="00C0642E"/>
    <w:rsid w:val="00C2274D"/>
    <w:rsid w:val="00C44EBE"/>
    <w:rsid w:val="00C550AF"/>
    <w:rsid w:val="00C81211"/>
    <w:rsid w:val="00C91A7B"/>
    <w:rsid w:val="00C939F7"/>
    <w:rsid w:val="00CA2802"/>
    <w:rsid w:val="00CA4059"/>
    <w:rsid w:val="00CA4FFF"/>
    <w:rsid w:val="00CB2F93"/>
    <w:rsid w:val="00CC4C4C"/>
    <w:rsid w:val="00CD2FF2"/>
    <w:rsid w:val="00CD30B2"/>
    <w:rsid w:val="00CF1629"/>
    <w:rsid w:val="00CF6987"/>
    <w:rsid w:val="00D11AC1"/>
    <w:rsid w:val="00D13F33"/>
    <w:rsid w:val="00D41B3E"/>
    <w:rsid w:val="00D44F34"/>
    <w:rsid w:val="00D4796E"/>
    <w:rsid w:val="00D63A5D"/>
    <w:rsid w:val="00D7627B"/>
    <w:rsid w:val="00DB198D"/>
    <w:rsid w:val="00DF537A"/>
    <w:rsid w:val="00E16D46"/>
    <w:rsid w:val="00E34468"/>
    <w:rsid w:val="00E4541F"/>
    <w:rsid w:val="00E4571F"/>
    <w:rsid w:val="00E50B16"/>
    <w:rsid w:val="00E95268"/>
    <w:rsid w:val="00EB0D7A"/>
    <w:rsid w:val="00EB4C91"/>
    <w:rsid w:val="00EB6844"/>
    <w:rsid w:val="00EC78C0"/>
    <w:rsid w:val="00EE59C4"/>
    <w:rsid w:val="00EE7E8E"/>
    <w:rsid w:val="00F02B4C"/>
    <w:rsid w:val="00F268CB"/>
    <w:rsid w:val="00F304C5"/>
    <w:rsid w:val="00F63D53"/>
    <w:rsid w:val="00F70413"/>
    <w:rsid w:val="00F819B2"/>
    <w:rsid w:val="00F94EC2"/>
    <w:rsid w:val="00FA5DFC"/>
    <w:rsid w:val="00FC6C8E"/>
    <w:rsid w:val="00FC6DB8"/>
    <w:rsid w:val="00FE54B2"/>
    <w:rsid w:val="00FE758B"/>
    <w:rsid w:val="00FF00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7D5F"/>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0E5E20"/>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A7D5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A7D5F"/>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E5E20"/>
    <w:pPr>
      <w:keepNext/>
      <w:widowControl/>
      <w:autoSpaceDE/>
      <w:autoSpaceDN/>
      <w:adjustRightInd/>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E2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4A7D5F"/>
    <w:rPr>
      <w:rFonts w:ascii="Cambria" w:hAnsi="Cambria" w:cs="Cambria"/>
      <w:b/>
      <w:bCs/>
      <w:i/>
      <w:iCs/>
      <w:sz w:val="28"/>
      <w:szCs w:val="28"/>
      <w:lang w:eastAsia="ru-RU"/>
    </w:rPr>
  </w:style>
  <w:style w:type="character" w:customStyle="1" w:styleId="Heading3Char">
    <w:name w:val="Heading 3 Char"/>
    <w:basedOn w:val="DefaultParagraphFont"/>
    <w:link w:val="Heading3"/>
    <w:uiPriority w:val="99"/>
    <w:semiHidden/>
    <w:locked/>
    <w:rsid w:val="004A7D5F"/>
    <w:rPr>
      <w:rFonts w:ascii="Cambria" w:hAnsi="Cambria" w:cs="Cambria"/>
      <w:b/>
      <w:bCs/>
      <w:sz w:val="26"/>
      <w:szCs w:val="26"/>
      <w:lang w:eastAsia="ru-RU"/>
    </w:rPr>
  </w:style>
  <w:style w:type="character" w:customStyle="1" w:styleId="Heading4Char">
    <w:name w:val="Heading 4 Char"/>
    <w:basedOn w:val="DefaultParagraphFont"/>
    <w:link w:val="Heading4"/>
    <w:uiPriority w:val="99"/>
    <w:locked/>
    <w:rsid w:val="000E5E20"/>
    <w:rPr>
      <w:rFonts w:ascii="Times New Roman" w:hAnsi="Times New Roman" w:cs="Times New Roman"/>
      <w:b/>
      <w:bCs/>
      <w:sz w:val="28"/>
      <w:szCs w:val="28"/>
      <w:lang w:eastAsia="ru-RU"/>
    </w:rPr>
  </w:style>
  <w:style w:type="paragraph" w:styleId="BodyTextIndent2">
    <w:name w:val="Body Text Indent 2"/>
    <w:basedOn w:val="Normal"/>
    <w:link w:val="BodyTextIndent2Char"/>
    <w:uiPriority w:val="99"/>
    <w:rsid w:val="00F02B4C"/>
    <w:pPr>
      <w:widowControl/>
      <w:autoSpaceDE/>
      <w:autoSpaceDN/>
      <w:adjustRightInd/>
      <w:ind w:right="-1" w:firstLine="851"/>
      <w:jc w:val="both"/>
    </w:pPr>
    <w:rPr>
      <w:sz w:val="28"/>
      <w:szCs w:val="28"/>
    </w:rPr>
  </w:style>
  <w:style w:type="character" w:customStyle="1" w:styleId="BodyTextIndent2Char">
    <w:name w:val="Body Text Indent 2 Char"/>
    <w:basedOn w:val="DefaultParagraphFont"/>
    <w:link w:val="BodyTextIndent2"/>
    <w:uiPriority w:val="99"/>
    <w:locked/>
    <w:rsid w:val="00F02B4C"/>
    <w:rPr>
      <w:rFonts w:ascii="Times New Roman" w:hAnsi="Times New Roman" w:cs="Times New Roman"/>
      <w:sz w:val="20"/>
      <w:szCs w:val="20"/>
      <w:lang w:eastAsia="ru-RU"/>
    </w:rPr>
  </w:style>
  <w:style w:type="paragraph" w:styleId="Title">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3"/>
    <w:basedOn w:val="Normal"/>
    <w:link w:val="TitleChar"/>
    <w:uiPriority w:val="99"/>
    <w:qFormat/>
    <w:rsid w:val="00F02B4C"/>
    <w:pPr>
      <w:widowControl/>
      <w:autoSpaceDE/>
      <w:autoSpaceDN/>
      <w:adjustRightInd/>
      <w:jc w:val="center"/>
    </w:pPr>
    <w:rPr>
      <w:b/>
      <w:bCs/>
      <w:sz w:val="28"/>
      <w:szCs w:val="28"/>
      <w:lang w:eastAsia="en-US"/>
    </w:rPr>
  </w:style>
  <w:style w:type="character" w:customStyle="1" w:styleId="TitleChar">
    <w:name w:val="Title Char"/>
    <w:aliases w:val="Название Знак1 Char,Название Знак Знак Char,Знак2 Знак Знак Char,Знак2 Знак1 Char,Знак2 Знак1 Знак Char,Название Знак1 Знак Char,Название Знак Знак Знак Char,Знак2 Знак Знак Знак Char,Знак Знак3 Char"/>
    <w:basedOn w:val="DefaultParagraphFont"/>
    <w:link w:val="Title"/>
    <w:uiPriority w:val="99"/>
    <w:locked/>
    <w:rsid w:val="00F02B4C"/>
    <w:rPr>
      <w:rFonts w:ascii="Times New Roman" w:hAnsi="Times New Roman" w:cs="Times New Roman"/>
      <w:b/>
      <w:bCs/>
      <w:sz w:val="24"/>
      <w:szCs w:val="24"/>
    </w:rPr>
  </w:style>
  <w:style w:type="paragraph" w:customStyle="1" w:styleId="ConsPlusNonformat">
    <w:name w:val="ConsPlusNonformat"/>
    <w:uiPriority w:val="99"/>
    <w:rsid w:val="00484682"/>
    <w:pPr>
      <w:autoSpaceDE w:val="0"/>
      <w:autoSpaceDN w:val="0"/>
      <w:adjustRightInd w:val="0"/>
    </w:pPr>
    <w:rPr>
      <w:rFonts w:ascii="Courier New" w:eastAsia="Times New Roman" w:hAnsi="Courier New" w:cs="Courier New"/>
      <w:sz w:val="20"/>
      <w:szCs w:val="20"/>
    </w:rPr>
  </w:style>
  <w:style w:type="paragraph" w:styleId="BodyText">
    <w:name w:val="Body Text"/>
    <w:aliases w:val="Знак,Знак Знак Знак Знак Знак"/>
    <w:basedOn w:val="Normal"/>
    <w:link w:val="BodyTextChar"/>
    <w:uiPriority w:val="99"/>
    <w:rsid w:val="00484682"/>
    <w:pPr>
      <w:widowControl/>
      <w:autoSpaceDE/>
      <w:autoSpaceDN/>
      <w:adjustRightInd/>
      <w:spacing w:after="120"/>
    </w:pPr>
  </w:style>
  <w:style w:type="character" w:customStyle="1" w:styleId="BodyTextChar">
    <w:name w:val="Body Text Char"/>
    <w:aliases w:val="Знак Char,Знак Знак Знак Знак Знак Char"/>
    <w:basedOn w:val="DefaultParagraphFont"/>
    <w:link w:val="BodyText"/>
    <w:uiPriority w:val="99"/>
    <w:locked/>
    <w:rsid w:val="00484682"/>
    <w:rPr>
      <w:rFonts w:ascii="Times New Roman" w:hAnsi="Times New Roman" w:cs="Times New Roman"/>
      <w:sz w:val="20"/>
      <w:szCs w:val="20"/>
      <w:lang w:eastAsia="ru-RU"/>
    </w:rPr>
  </w:style>
  <w:style w:type="paragraph" w:customStyle="1" w:styleId="ConsNormal">
    <w:name w:val="ConsNormal"/>
    <w:link w:val="ConsNormal0"/>
    <w:uiPriority w:val="99"/>
    <w:rsid w:val="00484682"/>
    <w:pPr>
      <w:widowControl w:val="0"/>
      <w:autoSpaceDE w:val="0"/>
      <w:autoSpaceDN w:val="0"/>
      <w:adjustRightInd w:val="0"/>
      <w:ind w:right="19772" w:firstLine="720"/>
    </w:pPr>
    <w:rPr>
      <w:rFonts w:ascii="Arial" w:eastAsia="Times New Roman" w:hAnsi="Arial" w:cs="Arial"/>
      <w:sz w:val="16"/>
      <w:szCs w:val="16"/>
    </w:rPr>
  </w:style>
  <w:style w:type="character" w:customStyle="1" w:styleId="ConsNormal0">
    <w:name w:val="ConsNormal Знак"/>
    <w:basedOn w:val="DefaultParagraphFont"/>
    <w:link w:val="ConsNormal"/>
    <w:uiPriority w:val="99"/>
    <w:locked/>
    <w:rsid w:val="00484682"/>
    <w:rPr>
      <w:rFonts w:ascii="Arial" w:hAnsi="Arial" w:cs="Arial"/>
      <w:sz w:val="16"/>
      <w:szCs w:val="16"/>
      <w:lang w:val="ru-RU" w:eastAsia="ru-RU"/>
    </w:rPr>
  </w:style>
  <w:style w:type="paragraph" w:styleId="ListParagraph">
    <w:name w:val="List Paragraph"/>
    <w:basedOn w:val="Normal"/>
    <w:link w:val="ListParagraphChar"/>
    <w:uiPriority w:val="99"/>
    <w:qFormat/>
    <w:rsid w:val="00A2548D"/>
    <w:pPr>
      <w:ind w:left="720"/>
    </w:pPr>
    <w:rPr>
      <w:rFonts w:eastAsia="Calibri"/>
    </w:rPr>
  </w:style>
  <w:style w:type="paragraph" w:styleId="Header">
    <w:name w:val="header"/>
    <w:basedOn w:val="Normal"/>
    <w:link w:val="HeaderChar"/>
    <w:uiPriority w:val="99"/>
    <w:rsid w:val="00491183"/>
    <w:pPr>
      <w:tabs>
        <w:tab w:val="center" w:pos="4677"/>
        <w:tab w:val="right" w:pos="9355"/>
      </w:tabs>
    </w:pPr>
  </w:style>
  <w:style w:type="character" w:customStyle="1" w:styleId="HeaderChar">
    <w:name w:val="Header Char"/>
    <w:basedOn w:val="DefaultParagraphFont"/>
    <w:link w:val="Header"/>
    <w:uiPriority w:val="99"/>
    <w:locked/>
    <w:rsid w:val="00491183"/>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4911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183"/>
    <w:rPr>
      <w:rFonts w:ascii="Tahoma" w:hAnsi="Tahoma" w:cs="Tahoma"/>
      <w:sz w:val="16"/>
      <w:szCs w:val="16"/>
      <w:lang w:eastAsia="ru-RU"/>
    </w:rPr>
  </w:style>
  <w:style w:type="character" w:customStyle="1" w:styleId="2">
    <w:name w:val="Основной текст (2)_"/>
    <w:basedOn w:val="DefaultParagraphFont"/>
    <w:link w:val="20"/>
    <w:uiPriority w:val="99"/>
    <w:locked/>
    <w:rsid w:val="000E5E20"/>
    <w:rPr>
      <w:i/>
      <w:iCs/>
      <w:shd w:val="clear" w:color="auto" w:fill="FFFFFF"/>
    </w:rPr>
  </w:style>
  <w:style w:type="paragraph" w:customStyle="1" w:styleId="20">
    <w:name w:val="Основной текст (2)"/>
    <w:basedOn w:val="Normal"/>
    <w:link w:val="2"/>
    <w:uiPriority w:val="99"/>
    <w:rsid w:val="000E5E20"/>
    <w:pPr>
      <w:shd w:val="clear" w:color="auto" w:fill="FFFFFF"/>
      <w:autoSpaceDE/>
      <w:autoSpaceDN/>
      <w:adjustRightInd/>
      <w:spacing w:before="240" w:after="600" w:line="302" w:lineRule="exact"/>
      <w:ind w:hanging="2040"/>
    </w:pPr>
    <w:rPr>
      <w:rFonts w:ascii="Calibri" w:eastAsia="Calibri" w:hAnsi="Calibri" w:cs="Calibri"/>
      <w:i/>
      <w:iCs/>
      <w:sz w:val="22"/>
      <w:szCs w:val="22"/>
      <w:lang w:eastAsia="en-US"/>
    </w:rPr>
  </w:style>
  <w:style w:type="character" w:customStyle="1" w:styleId="ListParagraphChar">
    <w:name w:val="List Paragraph Char"/>
    <w:link w:val="ListParagraph"/>
    <w:uiPriority w:val="99"/>
    <w:locked/>
    <w:rsid w:val="000E5E20"/>
    <w:rPr>
      <w:rFonts w:ascii="Times New Roman" w:hAnsi="Times New Roman" w:cs="Times New Roman"/>
      <w:sz w:val="20"/>
      <w:szCs w:val="20"/>
      <w:lang w:eastAsia="ru-RU"/>
    </w:rPr>
  </w:style>
  <w:style w:type="paragraph" w:styleId="Caption">
    <w:name w:val="caption"/>
    <w:aliases w:val="Знак Знак Знак,Знак Знак"/>
    <w:basedOn w:val="Normal"/>
    <w:link w:val="CaptionChar"/>
    <w:uiPriority w:val="99"/>
    <w:qFormat/>
    <w:rsid w:val="000E5E20"/>
    <w:pPr>
      <w:widowControl/>
      <w:autoSpaceDE/>
      <w:autoSpaceDN/>
      <w:adjustRightInd/>
      <w:jc w:val="center"/>
    </w:pPr>
    <w:rPr>
      <w:sz w:val="28"/>
      <w:szCs w:val="28"/>
    </w:rPr>
  </w:style>
  <w:style w:type="character" w:customStyle="1" w:styleId="CaptionChar">
    <w:name w:val="Caption Char"/>
    <w:aliases w:val="Знак Знак Знак Char,Знак Знак Char"/>
    <w:basedOn w:val="DefaultParagraphFont"/>
    <w:link w:val="Caption"/>
    <w:uiPriority w:val="99"/>
    <w:locked/>
    <w:rsid w:val="000E5E20"/>
    <w:rPr>
      <w:rFonts w:ascii="Times New Roman" w:hAnsi="Times New Roman" w:cs="Times New Roman"/>
      <w:sz w:val="20"/>
      <w:szCs w:val="20"/>
      <w:lang w:eastAsia="ru-RU"/>
    </w:rPr>
  </w:style>
  <w:style w:type="paragraph" w:customStyle="1" w:styleId="21">
    <w:name w:val="Знак Знак2 Знак Знак Знак Знак Знак Знак Знак Знак Знак Знак Знак"/>
    <w:basedOn w:val="Normal"/>
    <w:uiPriority w:val="99"/>
    <w:rsid w:val="000E5E20"/>
    <w:pPr>
      <w:widowControl/>
      <w:adjustRightInd/>
      <w:spacing w:after="160" w:line="240" w:lineRule="exact"/>
    </w:pPr>
    <w:rPr>
      <w:rFonts w:ascii="Arial" w:hAnsi="Arial" w:cs="Arial"/>
      <w:b/>
      <w:bCs/>
      <w:lang w:val="en-US" w:eastAsia="de-DE"/>
    </w:rPr>
  </w:style>
  <w:style w:type="paragraph" w:styleId="BlockText">
    <w:name w:val="Block Text"/>
    <w:basedOn w:val="Normal"/>
    <w:uiPriority w:val="99"/>
    <w:rsid w:val="000E5E20"/>
    <w:pPr>
      <w:widowControl/>
      <w:autoSpaceDE/>
      <w:autoSpaceDN/>
      <w:adjustRightInd/>
      <w:ind w:left="-567" w:right="-1050" w:firstLine="709"/>
      <w:jc w:val="both"/>
    </w:pPr>
    <w:rPr>
      <w:sz w:val="28"/>
      <w:szCs w:val="28"/>
    </w:rPr>
  </w:style>
  <w:style w:type="paragraph" w:styleId="BodyTextIndent">
    <w:name w:val="Body Text Indent"/>
    <w:aliases w:val="Знак1"/>
    <w:basedOn w:val="Normal"/>
    <w:link w:val="BodyTextIndentChar1"/>
    <w:uiPriority w:val="99"/>
    <w:rsid w:val="000E5E20"/>
    <w:pPr>
      <w:widowControl/>
      <w:autoSpaceDE/>
      <w:autoSpaceDN/>
      <w:adjustRightInd/>
      <w:ind w:right="-1"/>
      <w:jc w:val="both"/>
    </w:pPr>
    <w:rPr>
      <w:sz w:val="24"/>
      <w:szCs w:val="24"/>
    </w:rPr>
  </w:style>
  <w:style w:type="character" w:customStyle="1" w:styleId="BodyTextIndentChar">
    <w:name w:val="Body Text Indent Char"/>
    <w:aliases w:val="Знак1 Char"/>
    <w:basedOn w:val="DefaultParagraphFont"/>
    <w:link w:val="BodyTextIndent"/>
    <w:uiPriority w:val="99"/>
    <w:semiHidden/>
    <w:locked/>
    <w:rsid w:val="00583B27"/>
    <w:rPr>
      <w:rFonts w:ascii="Times New Roman" w:hAnsi="Times New Roman" w:cs="Times New Roman"/>
      <w:sz w:val="20"/>
      <w:szCs w:val="20"/>
    </w:rPr>
  </w:style>
  <w:style w:type="character" w:customStyle="1" w:styleId="a">
    <w:name w:val="Основной текст с отступом Знак"/>
    <w:aliases w:val="Знак Знак1,Знак Знак Знак2"/>
    <w:basedOn w:val="DefaultParagraphFont"/>
    <w:uiPriority w:val="99"/>
    <w:rsid w:val="000E5E20"/>
    <w:rPr>
      <w:rFonts w:ascii="Times New Roman" w:hAnsi="Times New Roman" w:cs="Times New Roman"/>
      <w:sz w:val="20"/>
      <w:szCs w:val="20"/>
      <w:lang w:eastAsia="ru-RU"/>
    </w:rPr>
  </w:style>
  <w:style w:type="character" w:customStyle="1" w:styleId="BodyTextIndentChar1">
    <w:name w:val="Body Text Indent Char1"/>
    <w:aliases w:val="Знак1 Char1"/>
    <w:basedOn w:val="DefaultParagraphFont"/>
    <w:link w:val="BodyTextIndent"/>
    <w:uiPriority w:val="99"/>
    <w:locked/>
    <w:rsid w:val="000E5E2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0E5E20"/>
    <w:pPr>
      <w:widowControl/>
      <w:autoSpaceDE/>
      <w:autoSpaceDN/>
      <w:adjustRightInd/>
      <w:ind w:right="-766" w:firstLine="851"/>
      <w:jc w:val="both"/>
    </w:pPr>
    <w:rPr>
      <w:sz w:val="28"/>
      <w:szCs w:val="28"/>
    </w:rPr>
  </w:style>
  <w:style w:type="character" w:customStyle="1" w:styleId="BodyTextIndent3Char">
    <w:name w:val="Body Text Indent 3 Char"/>
    <w:basedOn w:val="DefaultParagraphFont"/>
    <w:link w:val="BodyTextIndent3"/>
    <w:uiPriority w:val="99"/>
    <w:locked/>
    <w:rsid w:val="000E5E20"/>
    <w:rPr>
      <w:rFonts w:ascii="Times New Roman" w:hAnsi="Times New Roman" w:cs="Times New Roman"/>
      <w:sz w:val="20"/>
      <w:szCs w:val="20"/>
      <w:lang w:eastAsia="ru-RU"/>
    </w:rPr>
  </w:style>
  <w:style w:type="character" w:styleId="PageNumber">
    <w:name w:val="page number"/>
    <w:basedOn w:val="DefaultParagraphFont"/>
    <w:uiPriority w:val="99"/>
    <w:rsid w:val="000E5E20"/>
  </w:style>
  <w:style w:type="paragraph" w:styleId="BodyText2">
    <w:name w:val="Body Text 2"/>
    <w:basedOn w:val="Normal"/>
    <w:link w:val="BodyText2Char"/>
    <w:uiPriority w:val="99"/>
    <w:rsid w:val="000E5E20"/>
    <w:pPr>
      <w:widowControl/>
      <w:autoSpaceDE/>
      <w:autoSpaceDN/>
      <w:adjustRightInd/>
      <w:spacing w:after="120" w:line="480" w:lineRule="auto"/>
    </w:pPr>
  </w:style>
  <w:style w:type="character" w:customStyle="1" w:styleId="BodyText2Char">
    <w:name w:val="Body Text 2 Char"/>
    <w:basedOn w:val="DefaultParagraphFont"/>
    <w:link w:val="BodyText2"/>
    <w:uiPriority w:val="99"/>
    <w:locked/>
    <w:rsid w:val="000E5E20"/>
    <w:rPr>
      <w:rFonts w:ascii="Times New Roman" w:hAnsi="Times New Roman" w:cs="Times New Roman"/>
      <w:sz w:val="20"/>
      <w:szCs w:val="20"/>
      <w:lang w:eastAsia="ru-RU"/>
    </w:rPr>
  </w:style>
  <w:style w:type="paragraph" w:customStyle="1" w:styleId="CharChar">
    <w:name w:val="Char Char Знак Знак Знак"/>
    <w:basedOn w:val="Normal"/>
    <w:uiPriority w:val="99"/>
    <w:rsid w:val="000E5E20"/>
    <w:pPr>
      <w:widowControl/>
      <w:adjustRightInd/>
      <w:spacing w:after="160" w:line="240" w:lineRule="exact"/>
    </w:pPr>
    <w:rPr>
      <w:rFonts w:ascii="Arial" w:hAnsi="Arial" w:cs="Arial"/>
      <w:b/>
      <w:bCs/>
      <w:lang w:val="en-US" w:eastAsia="de-DE"/>
    </w:rPr>
  </w:style>
  <w:style w:type="paragraph" w:customStyle="1" w:styleId="ConsPlusNormal">
    <w:name w:val="ConsPlusNormal"/>
    <w:uiPriority w:val="99"/>
    <w:rsid w:val="000E5E20"/>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0E5E20"/>
    <w:rPr>
      <w:color w:val="0000FF"/>
      <w:u w:val="single"/>
    </w:rPr>
  </w:style>
  <w:style w:type="paragraph" w:styleId="NormalWeb">
    <w:name w:val="Normal (Web)"/>
    <w:basedOn w:val="Normal"/>
    <w:uiPriority w:val="99"/>
    <w:rsid w:val="000E5E20"/>
    <w:pPr>
      <w:widowControl/>
      <w:autoSpaceDE/>
      <w:autoSpaceDN/>
      <w:adjustRightInd/>
      <w:spacing w:after="50"/>
    </w:pPr>
    <w:rPr>
      <w:rFonts w:ascii="Verdana" w:hAnsi="Verdana" w:cs="Verdana"/>
      <w:color w:val="000000"/>
      <w:sz w:val="12"/>
      <w:szCs w:val="12"/>
    </w:rPr>
  </w:style>
  <w:style w:type="paragraph" w:customStyle="1" w:styleId="22">
    <w:name w:val="Знак Знак2"/>
    <w:basedOn w:val="Normal"/>
    <w:uiPriority w:val="99"/>
    <w:rsid w:val="000E5E20"/>
    <w:pPr>
      <w:widowControl/>
      <w:adjustRightInd/>
      <w:spacing w:after="160" w:line="240" w:lineRule="exact"/>
    </w:pPr>
    <w:rPr>
      <w:rFonts w:ascii="Arial" w:hAnsi="Arial" w:cs="Arial"/>
      <w:b/>
      <w:bCs/>
      <w:lang w:val="en-US" w:eastAsia="de-DE"/>
    </w:rPr>
  </w:style>
  <w:style w:type="paragraph" w:customStyle="1" w:styleId="23">
    <w:name w:val="Знак Знак2 Знак Знак Знак Знак Знак Знак Знак Знак Знак Знак Знак Знак Знак Знак"/>
    <w:basedOn w:val="Normal"/>
    <w:uiPriority w:val="99"/>
    <w:rsid w:val="000E5E20"/>
    <w:pPr>
      <w:widowControl/>
      <w:adjustRightInd/>
      <w:spacing w:after="160" w:line="240" w:lineRule="exact"/>
    </w:pPr>
    <w:rPr>
      <w:rFonts w:ascii="Arial" w:hAnsi="Arial" w:cs="Arial"/>
      <w:b/>
      <w:bCs/>
      <w:lang w:val="en-US" w:eastAsia="de-DE"/>
    </w:rPr>
  </w:style>
  <w:style w:type="paragraph" w:styleId="Footer">
    <w:name w:val="footer"/>
    <w:basedOn w:val="Normal"/>
    <w:link w:val="FooterChar"/>
    <w:uiPriority w:val="99"/>
    <w:rsid w:val="000E5E20"/>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locked/>
    <w:rsid w:val="000E5E20"/>
    <w:rPr>
      <w:rFonts w:ascii="Times New Roman" w:hAnsi="Times New Roman" w:cs="Times New Roman"/>
      <w:sz w:val="20"/>
      <w:szCs w:val="20"/>
      <w:lang w:eastAsia="ru-RU"/>
    </w:rPr>
  </w:style>
  <w:style w:type="paragraph" w:customStyle="1" w:styleId="24">
    <w:name w:val="Знак Знак2 Знак Знак Знак Знак Знак"/>
    <w:basedOn w:val="Normal"/>
    <w:uiPriority w:val="99"/>
    <w:rsid w:val="000E5E20"/>
    <w:pPr>
      <w:widowControl/>
      <w:adjustRightInd/>
      <w:spacing w:after="160" w:line="240" w:lineRule="exact"/>
    </w:pPr>
    <w:rPr>
      <w:rFonts w:ascii="Arial" w:hAnsi="Arial" w:cs="Arial"/>
      <w:b/>
      <w:bCs/>
      <w:lang w:val="en-US" w:eastAsia="de-DE"/>
    </w:rPr>
  </w:style>
  <w:style w:type="paragraph" w:customStyle="1" w:styleId="1">
    <w:name w:val="Знак Знак1 Знак"/>
    <w:basedOn w:val="Normal"/>
    <w:uiPriority w:val="99"/>
    <w:rsid w:val="000E5E20"/>
    <w:pPr>
      <w:widowControl/>
      <w:adjustRightInd/>
      <w:spacing w:after="160" w:line="240" w:lineRule="exact"/>
    </w:pPr>
    <w:rPr>
      <w:rFonts w:ascii="Arial" w:hAnsi="Arial" w:cs="Arial"/>
      <w:b/>
      <w:bCs/>
      <w:lang w:val="en-US" w:eastAsia="de-DE"/>
    </w:rPr>
  </w:style>
  <w:style w:type="character" w:customStyle="1" w:styleId="a0">
    <w:name w:val="Гипертекстовая ссылка"/>
    <w:basedOn w:val="DefaultParagraphFont"/>
    <w:uiPriority w:val="99"/>
    <w:rsid w:val="000E5E20"/>
    <w:rPr>
      <w:color w:val="008000"/>
    </w:rPr>
  </w:style>
  <w:style w:type="paragraph" w:customStyle="1" w:styleId="25">
    <w:name w:val="Знак Знак2 Знак Знак Знак Знак Знак Знак Знак Знак Знак Знак Знак Знак Знак Знак Знак"/>
    <w:basedOn w:val="Normal"/>
    <w:uiPriority w:val="99"/>
    <w:rsid w:val="000E5E20"/>
    <w:pPr>
      <w:widowControl/>
      <w:adjustRightInd/>
      <w:spacing w:after="160" w:line="240" w:lineRule="exact"/>
    </w:pPr>
    <w:rPr>
      <w:rFonts w:ascii="Arial" w:hAnsi="Arial" w:cs="Arial"/>
      <w:b/>
      <w:bCs/>
      <w:lang w:val="en-US" w:eastAsia="de-DE"/>
    </w:rPr>
  </w:style>
  <w:style w:type="paragraph" w:customStyle="1" w:styleId="10">
    <w:name w:val="Знак Знак1 Знак Знак"/>
    <w:basedOn w:val="Normal"/>
    <w:uiPriority w:val="99"/>
    <w:rsid w:val="000E5E20"/>
    <w:pPr>
      <w:widowControl/>
      <w:adjustRightInd/>
      <w:spacing w:after="160" w:line="240" w:lineRule="exact"/>
    </w:pPr>
    <w:rPr>
      <w:rFonts w:ascii="Arial" w:hAnsi="Arial" w:cs="Arial"/>
      <w:b/>
      <w:bCs/>
      <w:lang w:val="en-US" w:eastAsia="de-DE"/>
    </w:rPr>
  </w:style>
  <w:style w:type="character" w:styleId="FollowedHyperlink">
    <w:name w:val="FollowedHyperlink"/>
    <w:basedOn w:val="DefaultParagraphFont"/>
    <w:uiPriority w:val="99"/>
    <w:rsid w:val="000E5E20"/>
    <w:rPr>
      <w:color w:val="800080"/>
      <w:u w:val="single"/>
    </w:rPr>
  </w:style>
  <w:style w:type="paragraph" w:customStyle="1" w:styleId="a1">
    <w:name w:val="Акты"/>
    <w:basedOn w:val="Normal"/>
    <w:link w:val="a2"/>
    <w:uiPriority w:val="99"/>
    <w:rsid w:val="000E5E20"/>
    <w:pPr>
      <w:widowControl/>
      <w:autoSpaceDE/>
      <w:autoSpaceDN/>
      <w:adjustRightInd/>
      <w:ind w:firstLine="709"/>
      <w:jc w:val="both"/>
    </w:pPr>
    <w:rPr>
      <w:rFonts w:eastAsia="Calibri"/>
      <w:sz w:val="28"/>
      <w:szCs w:val="28"/>
    </w:rPr>
  </w:style>
  <w:style w:type="character" w:customStyle="1" w:styleId="a2">
    <w:name w:val="Акты Знак"/>
    <w:link w:val="a1"/>
    <w:uiPriority w:val="99"/>
    <w:locked/>
    <w:rsid w:val="000E5E20"/>
    <w:rPr>
      <w:rFonts w:ascii="Times New Roman" w:hAnsi="Times New Roman" w:cs="Times New Roman"/>
      <w:sz w:val="28"/>
      <w:szCs w:val="28"/>
      <w:lang w:eastAsia="ru-RU"/>
    </w:rPr>
  </w:style>
  <w:style w:type="character" w:styleId="Strong">
    <w:name w:val="Strong"/>
    <w:basedOn w:val="DefaultParagraphFont"/>
    <w:uiPriority w:val="99"/>
    <w:qFormat/>
    <w:rsid w:val="000E5E20"/>
    <w:rPr>
      <w:b/>
      <w:bCs/>
    </w:rPr>
  </w:style>
  <w:style w:type="character" w:styleId="Emphasis">
    <w:name w:val="Emphasis"/>
    <w:basedOn w:val="DefaultParagraphFont"/>
    <w:uiPriority w:val="99"/>
    <w:qFormat/>
    <w:rsid w:val="000E5E20"/>
    <w:rPr>
      <w:i/>
      <w:iCs/>
    </w:rPr>
  </w:style>
  <w:style w:type="paragraph" w:customStyle="1" w:styleId="3">
    <w:name w:val="Основной текст3"/>
    <w:basedOn w:val="Normal"/>
    <w:uiPriority w:val="99"/>
    <w:rsid w:val="000E5E20"/>
    <w:pPr>
      <w:shd w:val="clear" w:color="auto" w:fill="FFFFFF"/>
      <w:autoSpaceDE/>
      <w:autoSpaceDN/>
      <w:adjustRightInd/>
      <w:spacing w:before="1200" w:after="720" w:line="240" w:lineRule="atLeast"/>
      <w:ind w:hanging="2040"/>
      <w:jc w:val="center"/>
    </w:pPr>
    <w:rPr>
      <w:sz w:val="26"/>
      <w:szCs w:val="26"/>
    </w:rPr>
  </w:style>
  <w:style w:type="character" w:customStyle="1" w:styleId="213pt">
    <w:name w:val="Основной текст (2) + 13 pt"/>
    <w:aliases w:val="Не курсив"/>
    <w:basedOn w:val="2"/>
    <w:uiPriority w:val="99"/>
    <w:rsid w:val="000E5E20"/>
    <w:rPr>
      <w:rFonts w:ascii="Times New Roman" w:eastAsia="Times New Roman" w:cs="Times New Roman"/>
      <w:color w:val="000000"/>
      <w:spacing w:val="0"/>
      <w:w w:val="100"/>
      <w:position w:val="0"/>
      <w:sz w:val="26"/>
      <w:szCs w:val="26"/>
      <w:u w:val="none"/>
      <w:lang w:val="ru-RU"/>
    </w:rPr>
  </w:style>
  <w:style w:type="character" w:customStyle="1" w:styleId="4">
    <w:name w:val="Основной текст (4)_"/>
    <w:basedOn w:val="DefaultParagraphFont"/>
    <w:link w:val="40"/>
    <w:uiPriority w:val="99"/>
    <w:locked/>
    <w:rsid w:val="000E5E20"/>
    <w:rPr>
      <w:shd w:val="clear" w:color="auto" w:fill="FFFFFF"/>
    </w:rPr>
  </w:style>
  <w:style w:type="paragraph" w:customStyle="1" w:styleId="40">
    <w:name w:val="Основной текст (4)"/>
    <w:basedOn w:val="Normal"/>
    <w:link w:val="4"/>
    <w:uiPriority w:val="99"/>
    <w:rsid w:val="000E5E20"/>
    <w:pPr>
      <w:shd w:val="clear" w:color="auto" w:fill="FFFFFF"/>
      <w:autoSpaceDE/>
      <w:autoSpaceDN/>
      <w:adjustRightInd/>
      <w:spacing w:before="240" w:after="720" w:line="240" w:lineRule="atLeast"/>
      <w:jc w:val="center"/>
    </w:pPr>
    <w:rPr>
      <w:rFonts w:ascii="Calibri" w:eastAsia="Calibri" w:hAnsi="Calibri" w:cs="Calibri"/>
      <w:sz w:val="22"/>
      <w:szCs w:val="22"/>
      <w:lang w:eastAsia="en-US"/>
    </w:rPr>
  </w:style>
  <w:style w:type="character" w:customStyle="1" w:styleId="30">
    <w:name w:val="Основной текст (3)_"/>
    <w:basedOn w:val="DefaultParagraphFont"/>
    <w:link w:val="31"/>
    <w:uiPriority w:val="99"/>
    <w:locked/>
    <w:rsid w:val="000E5E20"/>
    <w:rPr>
      <w:b/>
      <w:bCs/>
      <w:sz w:val="26"/>
      <w:szCs w:val="26"/>
      <w:shd w:val="clear" w:color="auto" w:fill="FFFFFF"/>
    </w:rPr>
  </w:style>
  <w:style w:type="paragraph" w:customStyle="1" w:styleId="31">
    <w:name w:val="Основной текст (3)"/>
    <w:basedOn w:val="Normal"/>
    <w:link w:val="30"/>
    <w:uiPriority w:val="99"/>
    <w:rsid w:val="000E5E20"/>
    <w:pPr>
      <w:shd w:val="clear" w:color="auto" w:fill="FFFFFF"/>
      <w:autoSpaceDE/>
      <w:autoSpaceDN/>
      <w:adjustRightInd/>
      <w:spacing w:before="600" w:after="240" w:line="312" w:lineRule="exact"/>
      <w:jc w:val="center"/>
    </w:pPr>
    <w:rPr>
      <w:rFonts w:ascii="Calibri" w:eastAsia="Calibri" w:hAnsi="Calibri" w:cs="Calibri"/>
      <w:b/>
      <w:bCs/>
      <w:sz w:val="26"/>
      <w:szCs w:val="26"/>
      <w:lang w:eastAsia="en-US"/>
    </w:rPr>
  </w:style>
  <w:style w:type="character" w:customStyle="1" w:styleId="apple-converted-space">
    <w:name w:val="apple-converted-space"/>
    <w:basedOn w:val="DefaultParagraphFont"/>
    <w:uiPriority w:val="99"/>
    <w:rsid w:val="000E5E20"/>
  </w:style>
  <w:style w:type="paragraph" w:customStyle="1" w:styleId="consplustitle">
    <w:name w:val="consplustitle"/>
    <w:basedOn w:val="Normal"/>
    <w:uiPriority w:val="99"/>
    <w:rsid w:val="000E5E20"/>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0E5E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5">
    <w:name w:val="s5"/>
    <w:basedOn w:val="DefaultParagraphFont"/>
    <w:uiPriority w:val="99"/>
    <w:rsid w:val="000E5E20"/>
  </w:style>
  <w:style w:type="paragraph" w:customStyle="1" w:styleId="11">
    <w:name w:val="1"/>
    <w:basedOn w:val="Normal"/>
    <w:uiPriority w:val="99"/>
    <w:rsid w:val="001F516A"/>
    <w:pPr>
      <w:widowControl/>
      <w:autoSpaceDE/>
      <w:autoSpaceDN/>
      <w:adjustRightInd/>
      <w:spacing w:before="100" w:beforeAutospacing="1" w:after="100" w:afterAutospacing="1"/>
    </w:pPr>
    <w:rPr>
      <w:rFonts w:ascii="Tahoma" w:eastAsia="Calibri"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47539304">
      <w:marLeft w:val="0"/>
      <w:marRight w:val="0"/>
      <w:marTop w:val="0"/>
      <w:marBottom w:val="0"/>
      <w:divBdr>
        <w:top w:val="none" w:sz="0" w:space="0" w:color="auto"/>
        <w:left w:val="none" w:sz="0" w:space="0" w:color="auto"/>
        <w:bottom w:val="none" w:sz="0" w:space="0" w:color="auto"/>
        <w:right w:val="none" w:sz="0" w:space="0" w:color="auto"/>
      </w:divBdr>
    </w:div>
    <w:div w:id="47539305">
      <w:marLeft w:val="0"/>
      <w:marRight w:val="0"/>
      <w:marTop w:val="0"/>
      <w:marBottom w:val="0"/>
      <w:divBdr>
        <w:top w:val="none" w:sz="0" w:space="0" w:color="auto"/>
        <w:left w:val="none" w:sz="0" w:space="0" w:color="auto"/>
        <w:bottom w:val="none" w:sz="0" w:space="0" w:color="auto"/>
        <w:right w:val="none" w:sz="0" w:space="0" w:color="auto"/>
      </w:divBdr>
    </w:div>
    <w:div w:id="47539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1382</TotalTime>
  <Pages>3</Pages>
  <Words>1171</Words>
  <Characters>6678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User</cp:lastModifiedBy>
  <cp:revision>62</cp:revision>
  <cp:lastPrinted>2018-07-04T03:47:00Z</cp:lastPrinted>
  <dcterms:created xsi:type="dcterms:W3CDTF">2017-04-19T03:50:00Z</dcterms:created>
  <dcterms:modified xsi:type="dcterms:W3CDTF">2024-04-12T06:05:00Z</dcterms:modified>
</cp:coreProperties>
</file>