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30 июня 2017 года                                                                                                  № 313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bidi w:val="0"/>
        <w:ind w:hanging="0" w:start="0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</w:t>
      </w:r>
      <w:r>
        <w:rPr>
          <w:b w:val="false"/>
          <w:sz w:val="24"/>
          <w:szCs w:val="24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>
          <w:sz w:val="24"/>
          <w:szCs w:val="24"/>
        </w:rPr>
        <w:t xml:space="preserve"> Администрация муниципального образования «Сюмсинский район»  </w:t>
      </w:r>
      <w:r>
        <w:rPr>
          <w:spacing w:val="20"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  <w:r>
        <w:rPr>
          <w:b w:val="false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июля 2017 года (прилагается).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 Признать утратившим силу постановление Администрации муниципального образования «Сюмсинский район» от 27 марта 2017 года № 138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«Сюмсинский район»                                                                                                В.И.Семенов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30 июня 2017 № 313       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земельных участков, планируемых для предоставления гражданам в собственность бесплатно, по состоянию на 01 июля 2017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64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27"/>
        <w:gridCol w:w="1275"/>
        <w:gridCol w:w="1984"/>
        <w:gridCol w:w="2977"/>
      </w:tblGrid>
      <w:tr>
        <w:trPr>
          <w:trHeight w:val="37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Местоположение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18:20:049063:3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3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18:20:049063:4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5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18:20:049063:5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7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18:20:049063:8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9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18:20:049063:6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11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ahoma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Calibri"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BodyTextChar">
    <w:name w:val="Body Text Char"/>
    <w:basedOn w:val="DefaultParagraphFont"/>
    <w:qFormat/>
    <w:rPr>
      <w:rFonts w:eastAsia="Times New Roman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ru-RU" w:eastAsia="ru-RU" w:bidi="hi-IN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311</Words>
  <Characters>2461</Characters>
  <CharactersWithSpaces>3057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2017-07-04T11:25:00Z</dcterms:created>
  <dc:creator>tv</dc:creator>
  <dc:description/>
  <dc:language>ru-RU</dc:language>
  <cp:lastModifiedBy/>
  <cp:lastPrinted>2017-03-31T13:14:00Z</cp:lastPrinted>
  <dcterms:modified xsi:type="dcterms:W3CDTF">2017-07-04T11:29:00Z</dcterms:modified>
  <cp:revision>3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Customer</vt:lpwstr>
  </property>
</Properties>
</file>