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"/>
        <w:gridCol w:w="115"/>
        <w:gridCol w:w="2551"/>
        <w:gridCol w:w="262"/>
        <w:gridCol w:w="1646"/>
        <w:gridCol w:w="77"/>
        <w:gridCol w:w="44"/>
        <w:gridCol w:w="664"/>
        <w:gridCol w:w="142"/>
        <w:gridCol w:w="292"/>
        <w:gridCol w:w="3369"/>
        <w:gridCol w:w="25"/>
      </w:tblGrid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 Муниципальная программа «Муниципальное управление»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2C07FB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9.1.</w:t>
            </w:r>
            <w:r w:rsidR="00071897" w:rsidRPr="00071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 «Организация муниципального управления»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2C07FB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казённое учреждение «Центр по комплексному обслуживанию  и ведению бухгалтерского учёта и отчётности органов местного самоуправления и муниципальных учреждений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района» (далее МКУ)</w:t>
            </w:r>
            <w:r w:rsid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Администрация района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Своевременная и в полном объеме оплата труда </w:t>
            </w:r>
            <w:r w:rsid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Главы </w:t>
            </w:r>
            <w:proofErr w:type="spellStart"/>
            <w:r w:rsid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сотрудников  Администрации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района. </w:t>
            </w:r>
            <w:r w:rsidR="002C07FB"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Своевременная выплата пенсии за выслугу лет лицам, замещавшим должности муниципальной службы в органах местного самоуправления</w:t>
            </w:r>
            <w:r w:rsid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работы коллектива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Принятие и организация выполнения планов и программ социально-экономического развития муниципального образования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района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2C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Эффективная реализация планов и программ социально-экономического развития муниципального образования 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C07FB" w:rsidRDefault="00071897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мониторинга отклонения цен заключения договоров</w:t>
            </w:r>
            <w:proofErr w:type="gramEnd"/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среднерыночного уровня при осуществлении муниципальных закупок для муниципальных нужд муниципального образования «Муниципальный округ </w:t>
            </w:r>
            <w:proofErr w:type="spellStart"/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C07FB" w:rsidRDefault="002C07FB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Уменьшение расходования бюджетных средств и внебюджетных источников финансирования в результате закупок для муниципальных заказчиков 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B2E39" w:rsidRDefault="002B2E39" w:rsidP="002B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и представление на рассмотрение Главе муниципального образования ««Муниципальный округ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Удмуртской Республики»  предложений по совершенствованию практики осуществления муниципальных закупок для муниципальных нужд муниципального образования ««Муниципальный округ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Удмуртской Республики» в целях исключения (предотвращения) возможности совершения коррупционных действий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2C07FB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эффективности работы муниципального органа в сфере противодействия коррупции </w:t>
            </w:r>
          </w:p>
        </w:tc>
      </w:tr>
      <w:tr w:rsidR="00071897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соблюдения законодательства, регулирующего осуществление закупок для муниципальных нужд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2C07FB" w:rsidRDefault="002C07FB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FB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1897" w:rsidRPr="00071897" w:rsidRDefault="00071897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расходования бюджетных средств и внебюджетных источников финансирования в результате закупок для муниципальных заказчиков</w:t>
            </w:r>
          </w:p>
        </w:tc>
      </w:tr>
      <w:tr w:rsidR="002C07FB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FB" w:rsidRP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FB" w:rsidRPr="00071897" w:rsidRDefault="002C07FB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FB" w:rsidRPr="002C07FB" w:rsidRDefault="002C07FB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FB" w:rsidRPr="00071897" w:rsidRDefault="002C07FB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FB" w:rsidRPr="00071897" w:rsidRDefault="002C07FB" w:rsidP="002C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уровня квалификации специалистов  в области муниципального заказа, повышение эффективности работы муниципального органа              в сфере муниципальных закупок</w:t>
            </w:r>
          </w:p>
        </w:tc>
      </w:tr>
      <w:tr w:rsidR="002C07FB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технологий проведения аттестации, квалификационных экзаменов муниципальных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служащих, конкурсов на замещение вакантных должностей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правовой и кадровой работы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необходимых условий для профессионального развития муниципальных служащих </w:t>
            </w:r>
          </w:p>
        </w:tc>
      </w:tr>
      <w:tr w:rsidR="002C07FB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кадрового резерва муниципальных служащих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правовой и кадровой работы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механизмов формирования и использования кадрового резерва </w:t>
            </w:r>
          </w:p>
        </w:tc>
      </w:tr>
      <w:tr w:rsidR="002C07FB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профессиональной переподготовки, повышение квалификации муниципальных служащих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правовой и кадровой работы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7FB" w:rsidRPr="00071897" w:rsidRDefault="002C07FB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системы профессионального обучения муниципальных служащих </w:t>
            </w:r>
          </w:p>
        </w:tc>
      </w:tr>
      <w:tr w:rsidR="002B2E39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E39" w:rsidRDefault="002B2E39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E39" w:rsidRPr="00071897" w:rsidRDefault="002B2E39" w:rsidP="002B2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высококвалифицированных кадров для цифровой экономики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E39" w:rsidRDefault="002B2E39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района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E39" w:rsidRDefault="002B2E39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E39" w:rsidRPr="00071897" w:rsidRDefault="002B2E39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муниципальных служащих, обученных в рамках проекта «Кадры для цифровой экономики»</w:t>
            </w:r>
          </w:p>
        </w:tc>
      </w:tr>
      <w:tr w:rsidR="00761B95" w:rsidRPr="00071897" w:rsidTr="00A67D31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B95" w:rsidRPr="00761B95" w:rsidRDefault="00761B95" w:rsidP="00761B9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61B95">
              <w:rPr>
                <w:rFonts w:ascii="Times New Roman" w:hAnsi="Times New Roman" w:cs="Times New Roman"/>
                <w:sz w:val="18"/>
                <w:szCs w:val="18"/>
              </w:rPr>
              <w:t>Внедрение цифровых технологий и платформенных решений в сферах государственного управления и предоставления государственных (муниципальных) услуг и сервисов. Перевод процессов оказания государственных (муниципальных) услуг и сервисов на облачную цифровую платформу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B95" w:rsidRPr="00761B95" w:rsidRDefault="00761B95" w:rsidP="00761B9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61B95">
              <w:rPr>
                <w:rFonts w:ascii="Times New Roman" w:hAnsi="Times New Roman" w:cs="Times New Roman"/>
                <w:sz w:val="18"/>
                <w:szCs w:val="18"/>
              </w:rPr>
              <w:t>Сектор по информатизации и связям с общественностью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B95" w:rsidRPr="00761B95" w:rsidRDefault="00761B95" w:rsidP="00761B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B95" w:rsidRPr="00761B95" w:rsidRDefault="00761B95" w:rsidP="00761B9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61B95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оказания услуг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 устаревшего компьютерного оборудования, приобретение оргтехники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информатизации и связ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общественностью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качества оказания услуг в районе за счет обновления компьютерного оборудования. Приобретение оргтехники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Приобретение, установка и настройка технических средств защиты информации от несанкционированного доступа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A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информатизации и связ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общественностью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2B2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Предотвращение или существенное снижение ущерба безопасности органов местного самоуправления с использованием методов и средств защиты информации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Сопровождение Интернет-сайта района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2C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информатизации и связ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общественностью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открытости в деятельности органов местного самоуправления и общедоступности информационных ресурсов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5454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охране труда и технике безопасности муниципальных служащих:</w:t>
            </w:r>
          </w:p>
          <w:p w:rsidR="00761B95" w:rsidRPr="00075454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охране</w:t>
            </w:r>
            <w:proofErr w:type="gramEnd"/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труда руководителей и специалистов;</w:t>
            </w:r>
          </w:p>
          <w:p w:rsidR="00761B95" w:rsidRPr="00075454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-проведение периодического медицинского осмотра;</w:t>
            </w:r>
          </w:p>
          <w:p w:rsidR="00761B95" w:rsidRPr="00075454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-приобретение сувениров, поощрение, награждение по итогам проведения смотров и конкурсов по охране труда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5454" w:rsidRDefault="00761B95" w:rsidP="00A023BC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5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безопасных условий труда рабочих и муниципальных служащих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через средства массовой информации с целью повышения доверия к  деятельности органов местного самоуправления и должностных лиц местного самоуправления, формирование позитивного образа муниципального служащего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информатизации и связ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общественностью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B95" w:rsidRPr="00071897" w:rsidRDefault="00761B95" w:rsidP="00A0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доверия населения к органам местного самоуправления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совещаний, семинаров с лицами, замещающими муниципальные должности в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Сюмсинском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районе по вопросам противодействия коррупции, в том числе соблюдения ограничений и запретов, исполнения обязанностей, получения подарков, установления наказания за коммерческий подкуп, получения и дачу взятки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Руководитель Аппарата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работы муниципального органа в сфере противодействия коррупции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осуществление постоянного мониторинга имущественного положения должностных лиц, в том числе на основе выборочного анализа представленных ими сведений о своих доходах, имуществе и обязательствах имущественного характера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организационной работы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доверия населения к органам местного самоуправления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организационной работы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Эффективность работы органов местного самоуправления в сфере противодействия коррупции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экспертизы нормативных правовых актов и их проектов на наличие положений коррупционного характера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A0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организационной работы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Исключение коррупционных факторов, выявленных в нормативных правовых актах органов местного самоуправления и их проектах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3BC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прав несовершеннолетних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761B95" w:rsidRPr="00A023BC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организация деятельности комиссии по делам несовершеннолетних и защите их прав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DF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специалист-эксперт по делам несовершеннолетних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23BC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3B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23BC" w:rsidRDefault="00761B95" w:rsidP="00DF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Своевременная и в полном объеме оплата труда главного специалиста-эксперта по делам несовершеннолетних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работы специалиста.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Актуализация Реестра муниципальных услуг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DF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организационной работы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реестра муниципальных услуг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с требованиями ФЗ от 27.07.2010г. № 210-ФЗ «Об организации предоставления государственных и муниципальных услуг»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Приведение Административного регламента  муниципальных услуг, предоставляемых Администрацией муниципального  образования ««Муниципальный округ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Удмуртской Республики», в соответствие с требованиями законодательства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DF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предоставляющие муниципальные услуги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  Административных  регламентов 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открытости и доступности информации о деятельности органов местного самоуправления и формируемых ими информационных ресурсах 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DF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МО ««Муниципальный округ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Удмуртской Республики» о возможности получения услуг через МФЦ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в электронной форме через Региональный портал и Единый портал государственных и муниципальных услуг (функций) </w:t>
            </w:r>
          </w:p>
        </w:tc>
      </w:tr>
      <w:tr w:rsidR="00761B95" w:rsidRPr="00071897" w:rsidTr="009A5E0D">
        <w:trPr>
          <w:gridAfter w:val="1"/>
          <w:wAfter w:w="25" w:type="dxa"/>
          <w:tblCellSpacing w:w="0" w:type="dxa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76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социологических исследований с целью мониторинга удовлетворенности населением деятельностью органов местного самоуправления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а также качеством муниципальных услуг в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Сюмсинском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районе в соответствии с Указом Президента РФ от 28.04.2008г. № 607, постановлением Правительства РФ от 17.12.2012г. № 1317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информатизации и связ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общественностью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071897" w:rsidRDefault="00761B95" w:rsidP="0007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удовлетворенности населением деятельностью органов местного самоуправления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а также качеством муниципальных услуг в </w:t>
            </w:r>
            <w:proofErr w:type="spellStart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Сюмсинском</w:t>
            </w:r>
            <w:proofErr w:type="spellEnd"/>
            <w:r w:rsidRPr="00071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районе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9A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Подпрограмма 9.2  «Управление муниципальным имуществом и земельными ресурсами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Удмуртской Республики</w:t>
            </w:r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главного администратора доходов бюджета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соответствующим кодам бюджетной классификации, администрируемым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муниципального образования «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, 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доходов бюджета по закрепленным доходам бюджета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от использования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ведение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претензионно-исковой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Ведение реестра муниципального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Учет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обеспечение наполнения Реестра муниципального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информацией об объектах собственности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имущественной казны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Обеспечение ведения бюджетного учета имущественной казны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информации о собственности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 открытости информации об имуществе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о деятельности муниципальных органов в сфере управления имуществом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услуг, в том числе в электронной форме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по заявлениям юридических и физических лиц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распоряжение земельными участками, находящимися в собственности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и 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государственной неразграниченной собственности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работе с территориями, 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на территории муниципальных образований сельских поселений,</w:t>
            </w:r>
          </w:p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земельных ресурсов, в том числе путем проведения аукционных процедур,  в  интересах социально-экономического развития, 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доходов консолидированного бюджета Удмуртской Республики от внесения земельных платежей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муниципального земельного </w:t>
            </w:r>
            <w:proofErr w:type="gram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земельных участков на территории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Выполнение плана проверок муниципального земельного контроля, реализация контрольных функций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имущественными комплексами муниципальных унитарных предприятий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обеспечение его сохранности и целевого использования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распоряжение имуществом муниципальныхучреждений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УдмуртскойРеспублики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14" o:spid="_x0000_s1039" style="position:absolute;left:0;text-align:left;margin-left:18.9pt;margin-top:-54.05pt;width:1in;height:29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" strokecolor="white [3212]">
                  <v:textbox>
                    <w:txbxContent>
                      <w:p w:rsidR="00761B95" w:rsidRDefault="00761B95" w:rsidP="009A5E0D"/>
                    </w:txbxContent>
                  </v:textbox>
                </v:rect>
              </w:pic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обеспечение его сохранности и целевого использования</w:t>
            </w:r>
          </w:p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 прозрачности передачи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в аренду, а также иное вовлечение в хозяйственный оборот неиспользуемых или используемых не по назначению объектов недвижимости, находящихся в собственности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Сдача имущества в аренду, иное вовлечение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в хозяйственный оборот, получение доходов в бюджет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Приватизация имущества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доходов в бюджет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создание оптимальной структуры собственности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Перераспределение имущества между публично-правовыми образованиями (Российской Федерацией, Удмуртской Республикой, 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образованиями, проведение работ по приему-передаче имущества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оптимальной структуры собственности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 территории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Республики»объектов бесхозяйного и выморочного имущества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Выявление бесхозяйных объектов недвижимости, объектов выморочного имущества, проведение мероприятий с целью принятия в собственность муниципального района, вовлечения в хозяйственный оборот</w:t>
            </w:r>
          </w:p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 территории муниципального образования «Муниципальный округ </w:t>
            </w:r>
            <w:proofErr w:type="spellStart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</w:t>
            </w:r>
            <w:proofErr w:type="gramEnd"/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</w:t>
            </w:r>
            <w:hyperlink r:id="rId5">
              <w:r w:rsidRPr="00A07D39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A07D39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прав на недвижимое имущество и сделок с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,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A07D39" w:rsidRDefault="00761B95" w:rsidP="00A07D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39">
              <w:rPr>
                <w:rFonts w:ascii="Times New Roman" w:hAnsi="Times New Roman" w:cs="Times New Roman"/>
                <w:sz w:val="20"/>
                <w:szCs w:val="20"/>
              </w:rPr>
              <w:t>Внесение в Единый государственный реестр недвижимости сведений о правообладателях ранее учтенных объектов недвижимости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объектов недвижимого имущества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государственный кадастровый учет и государственная регистрация права собственности муниципального образования «Муниципальный округ </w:t>
            </w:r>
            <w:proofErr w:type="spellStart"/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9A5E0D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Республики»:</w:t>
            </w: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- объектов недвижимого имущества муниципальной собственности;</w:t>
            </w: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бесхозяйных объектов недвижимости (с постановкой на учет в качестве бесхозяйных объектов);</w:t>
            </w: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- объектов выморочного имущества.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Оценка объектов недвижимого имущества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УИЗО, Администрация района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объектов недвижимого имущества в целях принятия на баланс или проведения торгов</w:t>
            </w: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 для целей строительства и для целей, не связанных со строительством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целей строительства и для целей, не связанных со строительством, для проведения торгов и для нужд муниципального образования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подлежащих предоставлению гражданам, имеющим право на бесплатное получение земельных участков для индивидуального жилищного строительства в соответствии с законодательством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индивидуального жилищного строительства с целью предоставления гражданам бесплатно  в соответствии с Законами Удмуртской Республики   № 68-РЗ, № 32-РЗ</w:t>
            </w:r>
          </w:p>
        </w:tc>
      </w:tr>
      <w:tr w:rsidR="00761B95" w:rsidRPr="00A6226A" w:rsidTr="00852683">
        <w:trPr>
          <w:trHeight w:val="1980"/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0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на которых расположены многоквартирные дома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9A5E0D" w:rsidRDefault="00761B95" w:rsidP="009A5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E0D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под многоквартирными домами (при выявлении)</w:t>
            </w:r>
          </w:p>
        </w:tc>
      </w:tr>
      <w:tr w:rsidR="00761B95" w:rsidRPr="00A6226A" w:rsidTr="00852683">
        <w:trPr>
          <w:trHeight w:val="266"/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подготовке проектов межевания территории соответствующего элемента или соответствующих элементов планировочной структуры, иных документов, содержащих сведения о местоположении границ земельных участков, предусмотренных </w:t>
            </w:r>
            <w:hyperlink r:id="rId6" w:history="1">
              <w:r w:rsidRPr="00852683">
                <w:rPr>
                  <w:rFonts w:ascii="Times New Roman" w:hAnsi="Times New Roman" w:cs="Times New Roman"/>
                  <w:sz w:val="20"/>
                  <w:szCs w:val="20"/>
                </w:rPr>
                <w:t>пунктом 3 статьи 42.6</w:t>
              </w:r>
            </w:hyperlink>
            <w:r w:rsidRPr="0085268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кадастровой деятельности",  в целях проведения комплексных кадастровых работ</w:t>
            </w:r>
          </w:p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проекта межевания в целях проведения комплексных кадастровых работ</w:t>
            </w:r>
          </w:p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комплексных кадастровых работ, включая подготовку и предоставление в орган, осуществляющий государственный кадастровый учет и государственную регистрацию прав, карты-планы территории </w:t>
            </w:r>
          </w:p>
        </w:tc>
      </w:tr>
      <w:tr w:rsidR="00761B95" w:rsidRPr="00A6226A" w:rsidTr="00852683">
        <w:trPr>
          <w:trHeight w:val="266"/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9A5E0D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в отношении земель сельскохозяйственного </w:t>
            </w:r>
            <w:r w:rsidRPr="0085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назначения муниципальной собственности по образованию земельных участков, выделяемых в счет невостребованных земельных долей, включая работы по подготовке проектов межевания, а также кадастровые работы по образованию земельных участков из земель сельскохозяйственного назначения, государственная собственность на которые </w:t>
            </w:r>
            <w:proofErr w:type="spellStart"/>
            <w:r w:rsidRPr="00852683">
              <w:rPr>
                <w:rFonts w:ascii="Times New Roman" w:hAnsi="Times New Roman" w:cs="Times New Roman"/>
                <w:sz w:val="20"/>
                <w:szCs w:val="20"/>
              </w:rPr>
              <w:t>неразграничена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УИЗО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земель в сельском хозяйстве за счет использования </w:t>
            </w:r>
            <w:r w:rsidRPr="0085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землеустройства, проектов межевания земельных участков с проведением работ по инвентаризации земель, подготовке проектов межевания,формированию земельных участков и установлению на местности их границ</w:t>
            </w:r>
          </w:p>
          <w:p w:rsidR="00761B95" w:rsidRPr="00852683" w:rsidRDefault="00761B95" w:rsidP="008526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Подпрограмма 9.3 «Архивное дело»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1.Организация хранения, комплектования и использования документов  Архивного фонда УР и других архивных документов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26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повышению уровня безопасности архивов и сохранности архивных фондов (реализация противопожарных мер, обеспечение охраны объектов, оснащение оборудованием и материалами для хранения документов на различных видах носителей):</w:t>
            </w:r>
          </w:p>
          <w:p w:rsidR="00761B95" w:rsidRPr="00A6226A" w:rsidRDefault="00761B95" w:rsidP="00A6226A">
            <w:pPr>
              <w:pStyle w:val="a5"/>
              <w:jc w:val="both"/>
              <w:rPr>
                <w:b w:val="0"/>
                <w:sz w:val="18"/>
                <w:szCs w:val="18"/>
              </w:rPr>
            </w:pPr>
            <w:r w:rsidRPr="00A6226A">
              <w:rPr>
                <w:sz w:val="18"/>
                <w:szCs w:val="18"/>
              </w:rPr>
              <w:t xml:space="preserve">- </w:t>
            </w:r>
            <w:r w:rsidRPr="00A6226A">
              <w:rPr>
                <w:rStyle w:val="fontstyle01"/>
                <w:b w:val="0"/>
                <w:sz w:val="18"/>
                <w:szCs w:val="18"/>
              </w:rPr>
              <w:t>заключение контрактов по сопровождению и техническому обслуживанию системы</w:t>
            </w:r>
            <w:r w:rsidRPr="00A6226A">
              <w:rPr>
                <w:b w:val="0"/>
                <w:sz w:val="18"/>
                <w:szCs w:val="18"/>
              </w:rPr>
              <w:t xml:space="preserve"> охранной и пожарной сигнализации;</w:t>
            </w:r>
          </w:p>
          <w:p w:rsidR="00761B95" w:rsidRPr="00A6226A" w:rsidRDefault="00761B95" w:rsidP="00A6226A">
            <w:pPr>
              <w:pStyle w:val="a5"/>
              <w:jc w:val="both"/>
              <w:rPr>
                <w:rStyle w:val="fontstyle01"/>
                <w:b w:val="0"/>
                <w:sz w:val="18"/>
                <w:szCs w:val="18"/>
              </w:rPr>
            </w:pPr>
            <w:r w:rsidRPr="00A6226A">
              <w:rPr>
                <w:sz w:val="18"/>
                <w:szCs w:val="18"/>
              </w:rPr>
              <w:t>-</w:t>
            </w:r>
            <w:r w:rsidRPr="00A6226A">
              <w:rPr>
                <w:b w:val="0"/>
                <w:sz w:val="18"/>
                <w:szCs w:val="18"/>
              </w:rPr>
              <w:t>приобретение углекислотных огнетушителей;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26A">
              <w:rPr>
                <w:rStyle w:val="fontstyle01"/>
                <w:sz w:val="18"/>
                <w:szCs w:val="18"/>
              </w:rPr>
              <w:t xml:space="preserve">- </w:t>
            </w:r>
            <w:r w:rsidRPr="00A6226A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 w:rsidRPr="00A6226A">
              <w:rPr>
                <w:rStyle w:val="fontstyle01"/>
                <w:sz w:val="18"/>
                <w:szCs w:val="18"/>
              </w:rPr>
              <w:t xml:space="preserve"> систем кондиционирования и вентиляции воздуха</w:t>
            </w:r>
            <w:r w:rsidRPr="00A622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Архивный сектор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картонирование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ед.хр.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Физико-химическая и техническая обработка документов Архивного фонда Удмуртской Республики и других архивных документов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Подшивка 30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Комплектование Архивного фонда  Удмуртской Республики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прием на постоянное хранение управленческих документов от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организаций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Уменьшение доли документов, хранящихся в организациях – ИК архивного сектора сверх установленного срока,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ед.хр.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доступа к документам Архивного фонда Удмуртской Республики и их популяризация</w:t>
            </w: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информационных мероприятий (выставки, статьи в газету, информации на районный сайт, экскурсии)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Популяризация архивных документов с целью ознакомления пользователей</w:t>
            </w:r>
          </w:p>
        </w:tc>
      </w:tr>
      <w:tr w:rsidR="00761B95" w:rsidRPr="00A6226A" w:rsidTr="00852683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Государственный учет документов Архивного фонда УР, хранящихся в архивном секторе Администрации МО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район УР»</w:t>
            </w: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продолжится работа по заполнению  БД «Архивный фонд», в т.ч. заполнение поля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«Фонда пользования»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  заполнение необходимых полей БД «Архивный фонд»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2.Модернизация технологий работы на основании внедрения современных информационных и телекоммуникационных технологий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Внедрение автоматизированных программных комплексов, баз 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данных  к архивным документам, хранящимся в архивном секторе Администрации муниципального образования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заполнение БД «Архивный фонд»;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Предметно-тематический указатель к решениям органов местного самоуправления;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акты приема в эксплуатацию законченных строительством объектов;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фотокаталог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- 100%</w:t>
            </w:r>
          </w:p>
          <w:p w:rsidR="00761B95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1B95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1B95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1192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записей, - 1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ед.хр</w:t>
            </w:r>
            <w:proofErr w:type="gram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г.;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60C">
              <w:rPr>
                <w:rFonts w:ascii="Times New Roman" w:eastAsia="Times New Roman" w:hAnsi="Times New Roman" w:cs="Times New Roman"/>
                <w:sz w:val="18"/>
                <w:szCs w:val="18"/>
              </w:rPr>
              <w:t>23 записи 5 ед.хр. за 2016 г.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-ф.150 , оп.2ф, 1 ед.хр., 18 записей за 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Перевод архивных документов, хранящихся в архивном секторе Администрации муниципального образования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УР», в электронный вид (оцифровка)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1941-1945 г.г.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фондам: 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32,33,72,73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ед.хр./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3.Предоставление муниципальных  и переданных государственных  услуг юридическим и физическим лицам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гражданам и организациям архивной информации и копий архивных документов</w:t>
            </w:r>
          </w:p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 по мере поступления запросов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запросов социально-правового характера и 50 тематических запросов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доступа к архивным документам (копиям) и справочно-поисковым системам к ним в читальном зале архивного сектора Администрации МО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 по мере поступления запросов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тематических запросов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proofErr w:type="gram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м-</w:t>
            </w:r>
            <w:proofErr w:type="gram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ИК архивного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сектора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государственных услуг по предоставлению архивных документов, относящихся к собственности УР временно хранящихся в архивном отделе, пользователям в читальный зал архивного сектора Администрации МО « 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 по мере поступления запросов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  исполнение услуг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государственных услуг по оказанию методической помощи органам государственной власти УР, государственным и унитарным предприятиям УР, включая казенные предприятия, и государственным  учреждениям УР, расположенным на территории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по обеспечению сохранности, 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упорядочению, комплектованию, учету и использованию архивных документов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Упорядочение документов в 3-х организациях и прием документов на постоянное хранение от 4-х организаций государственной формы собственности в количестве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ед.хр.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государственной услуги по предоставлению государственным организациям УР, иным организациям и гражданам оформленных в установленном порядке  архивных справок или копий архивных документов, относящихся к собственности УР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мере поступления в течение года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 исполнение запросов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секторе Администрации муниципального образования  «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Сюмсинскиц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район»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временного  хранения в архивном секторе  Администрации МО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 архивных документов, относящихся к собственности Удмуртской Республики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всего периода хранения документов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Обеспечить временное хранение более 8 тыс. дел, отнесенных к  собственности УР; прием документов от 4-х организаций в количестве 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ед.хр.  собственности УР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Государственный учет архивных документов, отнесенных к собственности УР, временно хранящихся в архивном секторе Администрации МО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всего периода хранения документов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государственного учета архивных документов,  отнесенных к собственности УР, временно хранящихся в архивном секторе Администрации района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архивных документов государственной собственности УР временно хранящихся в архивном секторе Администрации МО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УР»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-/-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всего периода хранения документов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информационных мероприятий в форме подготовки выставок,  статей и др. на основе архивных документов, отнесенных к  собственности УР, временно хранящихся в архивном секторе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9.4 «Создание условий для государственной регистрации актов гражданского состояния в муниципальном образовании «Муниципальный округ </w:t>
            </w:r>
            <w:proofErr w:type="spellStart"/>
            <w:r w:rsidRPr="00A07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Сюмсинский</w:t>
            </w:r>
            <w:proofErr w:type="spellEnd"/>
            <w:r w:rsidRPr="00A07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 Удмуртской Республики»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регистрация рождения, заключения брака, расторжения брака, усыновления (удочерения), установления отцовства, перемены имени, смерти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государственных услуг по государственной регистрации актов гражданского состояния на территории </w:t>
            </w:r>
            <w:proofErr w:type="spell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исправлений, изменений в записи актов гражданского состояния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записей актов гражданского состояния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Восстановление и аннулирование записей актов гражданского состояния на основании решения суда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записей актов гражданского состояния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учета, обработки книг государственной регистрации актов гражданского состояния, собранных из первых экземпляров записей актов гражданского состояния, обеспечение надлежащих условий их хранения в течение установленного федеральным законом срока, подготовка передачи указанных книг на хранение в государственный архив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сохранности книг государственной регистрации актов гражданского состояния</w:t>
            </w:r>
            <w:proofErr w:type="gramEnd"/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повторных свидетельств о государственной регистрации актов гражданского состояния, иных документов, </w:t>
            </w: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подтверждающих наличие или отсутствие факта государственной регистрации акта гражданского состояния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государственных услуг по государственной регистрации 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тов гражданского состояния на те</w:t>
            </w: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рритории </w:t>
            </w:r>
            <w:proofErr w:type="spell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учета, надлежащего  хранения и </w:t>
            </w:r>
            <w:proofErr w:type="gram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использованием бланков свидетельств о государственной регистрации актов гражданского состояния, представление в установленном порядке в Комитет по делам ЗАГС при Правительстве Удмуртской Республики отчетов по движению указанных бланков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сохранности бланков  свидетельств о государственной регистрации актов гражданского состояния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государственной услуги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  гражданского состояния, восстановление и аннулирование записей актов гражданского состояния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государственных услуг по государственной регистрации актов гражданского состояния на территории </w:t>
            </w:r>
            <w:proofErr w:type="spell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государственной услуги по истребованию личных документов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государственной услуги по истребованию личных документов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Формирование, систематизация, обработка, учет и хранение записей актов гражданского состояния, составленных отделом ЗАГС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сохранности и использование документов отдела ЗАГС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научно-технической  обработки и переплета записей актов гражданского состояния за предыдущий год, составление на них описей и истории фонда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актовых книг государственной регистрации актов гражданского состояния за предыдущие годы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сохранности книг государственной регистрации актов гражданского состояния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07D39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9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светового, температурно-влажностного, санитарно-гигиенического, охранного и противопожарного режимов хранения документов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9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9.5 « Создание условий для реализации муниципальной программы</w:t>
            </w:r>
          </w:p>
        </w:tc>
      </w:tr>
      <w:tr w:rsidR="00761B95" w:rsidRPr="00A6226A" w:rsidTr="009A5E0D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tabs>
                <w:tab w:val="left" w:pos="8506"/>
                <w:tab w:val="left" w:pos="8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tabs>
                <w:tab w:val="left" w:pos="8506"/>
                <w:tab w:val="left" w:pos="8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района»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3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B95" w:rsidRPr="00A6226A" w:rsidRDefault="00761B95" w:rsidP="00A6226A">
            <w:pPr>
              <w:shd w:val="clear" w:color="auto" w:fill="FFFFFF"/>
              <w:tabs>
                <w:tab w:val="left" w:pos="8506"/>
                <w:tab w:val="left" w:pos="879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Достижение установленных значений всех целевых показателей (индикаторов) подпрограммы.</w:t>
            </w:r>
          </w:p>
          <w:p w:rsidR="00761B95" w:rsidRPr="00A6226A" w:rsidRDefault="00761B95" w:rsidP="00A6226A">
            <w:pPr>
              <w:tabs>
                <w:tab w:val="left" w:pos="8506"/>
                <w:tab w:val="left" w:pos="8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эффективности и результативности деятельности Администрации муниципального образования «Муниципальный округ 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 Удмуртской Республики» и муниципальных учреждений  «</w:t>
            </w:r>
            <w:proofErr w:type="spellStart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Сюмсинского</w:t>
            </w:r>
            <w:proofErr w:type="spellEnd"/>
            <w:r w:rsidRPr="00A62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района</w:t>
            </w:r>
          </w:p>
        </w:tc>
      </w:tr>
    </w:tbl>
    <w:p w:rsidR="00A561C1" w:rsidRDefault="00A561C1"/>
    <w:sectPr w:rsidR="00A561C1" w:rsidSect="0005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71897"/>
    <w:rsid w:val="00051DC1"/>
    <w:rsid w:val="00071897"/>
    <w:rsid w:val="00075454"/>
    <w:rsid w:val="002B2E39"/>
    <w:rsid w:val="002C07FB"/>
    <w:rsid w:val="003F660C"/>
    <w:rsid w:val="004E14F5"/>
    <w:rsid w:val="006D2D59"/>
    <w:rsid w:val="00746E9C"/>
    <w:rsid w:val="00761B95"/>
    <w:rsid w:val="00852683"/>
    <w:rsid w:val="009A5E0D"/>
    <w:rsid w:val="00A023BC"/>
    <w:rsid w:val="00A07D39"/>
    <w:rsid w:val="00A561C1"/>
    <w:rsid w:val="00A6226A"/>
    <w:rsid w:val="00DF2545"/>
    <w:rsid w:val="00E4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26A"/>
    <w:rPr>
      <w:color w:val="0000FF"/>
      <w:u w:val="single"/>
    </w:rPr>
  </w:style>
  <w:style w:type="paragraph" w:styleId="a5">
    <w:name w:val="Title"/>
    <w:basedOn w:val="a"/>
    <w:link w:val="a6"/>
    <w:qFormat/>
    <w:rsid w:val="00A6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622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A622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622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6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622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6226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1F66354F84972AEF9EBE683FE4E872EF8B8AC1961F544677303A586BEF88CACAE6092A27t4SCM" TargetMode="External"/><Relationship Id="rId5" Type="http://schemas.openxmlformats.org/officeDocument/2006/relationships/hyperlink" Target="consultantplus://offline/ref=F2FB5C0E4E66988E990E2C61FDC4F4A61FA58758245A4A066C8266D65C2EF40B5D1C1B833669CE00D05B234A76d1R4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91E2-0171-4B48-AB05-3E66DD7F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6</cp:revision>
  <cp:lastPrinted>2024-01-12T10:27:00Z</cp:lastPrinted>
  <dcterms:created xsi:type="dcterms:W3CDTF">2024-01-10T12:46:00Z</dcterms:created>
  <dcterms:modified xsi:type="dcterms:W3CDTF">2024-01-12T14:02:00Z</dcterms:modified>
</cp:coreProperties>
</file>