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168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50 лет Победы села Сюмси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50 лет Победы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Отремонтировать в 2024 году </w:t>
      </w:r>
      <w:r>
        <w:rPr>
          <w:rFonts w:eastAsia="Calibri"/>
          <w:sz w:val="28"/>
          <w:szCs w:val="28"/>
        </w:rPr>
        <w:t>участки дороги по ул. 50 лет Победы в селе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197</Words>
  <Characters>1378</Characters>
  <CharactersWithSpaces>1701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2024-03-14T10:21:00Z</dcterms:created>
  <dc:creator>SamLab.ws</dc:creator>
  <dc:description/>
  <dc:language>ru-RU</dc:language>
  <cp:lastModifiedBy/>
  <cp:lastPrinted>2024-03-14T14:24:07Z</cp:lastPrinted>
  <dcterms:modified xsi:type="dcterms:W3CDTF">2024-03-14T14:24:23Z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