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5E759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з»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F26487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3B0165">
        <w:rPr>
          <w:b w:val="0"/>
          <w:sz w:val="28"/>
          <w:szCs w:val="28"/>
        </w:rPr>
        <w:t xml:space="preserve">т </w:t>
      </w:r>
      <w:r w:rsidR="00992872">
        <w:rPr>
          <w:b w:val="0"/>
          <w:sz w:val="28"/>
          <w:szCs w:val="28"/>
        </w:rPr>
        <w:t xml:space="preserve">15 </w:t>
      </w:r>
      <w:r w:rsidR="00482D9F">
        <w:rPr>
          <w:b w:val="0"/>
          <w:sz w:val="28"/>
          <w:szCs w:val="28"/>
        </w:rPr>
        <w:t>мая</w:t>
      </w:r>
      <w:r w:rsidR="003B0165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636F73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5901AB">
        <w:rPr>
          <w:b w:val="0"/>
          <w:sz w:val="28"/>
          <w:szCs w:val="28"/>
        </w:rPr>
        <w:t xml:space="preserve">  </w:t>
      </w:r>
      <w:r w:rsidR="00992872">
        <w:rPr>
          <w:b w:val="0"/>
          <w:sz w:val="28"/>
          <w:szCs w:val="28"/>
        </w:rPr>
        <w:t xml:space="preserve">            </w:t>
      </w:r>
      <w:r w:rsidR="005901AB">
        <w:rPr>
          <w:b w:val="0"/>
          <w:sz w:val="28"/>
          <w:szCs w:val="28"/>
        </w:rPr>
        <w:t xml:space="preserve">   </w:t>
      </w:r>
      <w:r w:rsidR="000B7BEA" w:rsidRPr="00BE5718">
        <w:rPr>
          <w:b w:val="0"/>
          <w:sz w:val="28"/>
          <w:szCs w:val="28"/>
        </w:rPr>
        <w:t>№</w:t>
      </w:r>
      <w:r w:rsidR="00992872">
        <w:rPr>
          <w:b w:val="0"/>
          <w:sz w:val="28"/>
          <w:szCs w:val="28"/>
        </w:rPr>
        <w:t xml:space="preserve"> 307</w:t>
      </w:r>
      <w:r w:rsidR="00E02EFA">
        <w:rPr>
          <w:b w:val="0"/>
          <w:sz w:val="28"/>
          <w:szCs w:val="28"/>
        </w:rPr>
        <w:t xml:space="preserve">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 </w:t>
      </w:r>
    </w:p>
    <w:p w:rsidR="005E7597" w:rsidRDefault="005E7597" w:rsidP="000B7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2432CD" w:rsidRPr="002432CD" w:rsidRDefault="00B64A97" w:rsidP="00243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</w:t>
      </w:r>
      <w:r w:rsidR="005A47B2" w:rsidRPr="005A47B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A47B2" w:rsidRPr="005A4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оплате труда руководителей муниципальных бюджетных учреждений культуры Сюмсинского района </w:t>
      </w:r>
      <w:r w:rsidR="005A47B2" w:rsidRPr="005A47B2">
        <w:rPr>
          <w:rFonts w:ascii="Times New Roman" w:hAnsi="Times New Roman" w:cs="Times New Roman"/>
          <w:sz w:val="28"/>
          <w:szCs w:val="28"/>
        </w:rPr>
        <w:t>(муниципальное бюджетное образовательное учреждение дополнительного образования «Сюмсинская детская школа искусств», муниципальное бюджетное образовательное учреждение дополнительного образования «Кильмезская детская школа искусств»)</w:t>
      </w:r>
      <w:r w:rsidR="005A47B2">
        <w:rPr>
          <w:rFonts w:ascii="Times New Roman" w:hAnsi="Times New Roman" w:cs="Times New Roman"/>
          <w:sz w:val="28"/>
          <w:szCs w:val="28"/>
        </w:rPr>
        <w:t xml:space="preserve">, </w:t>
      </w:r>
      <w:r w:rsidR="002432CD" w:rsidRPr="002432C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432CD" w:rsidRPr="00243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оплате труда руководителей муниципальных бюджетных учреждений культуры Сюмсинского района </w:t>
      </w:r>
      <w:r w:rsidR="002432CD" w:rsidRPr="002432CD">
        <w:rPr>
          <w:rFonts w:ascii="Times New Roman" w:hAnsi="Times New Roman" w:cs="Times New Roman"/>
          <w:sz w:val="28"/>
          <w:szCs w:val="28"/>
        </w:rPr>
        <w:t xml:space="preserve">(муниципальное бюджетное учреждение культуры Сюмсинского района </w:t>
      </w:r>
      <w:r w:rsidR="002432CD">
        <w:rPr>
          <w:rFonts w:ascii="Times New Roman" w:hAnsi="Times New Roman" w:cs="Times New Roman"/>
          <w:sz w:val="28"/>
          <w:szCs w:val="28"/>
        </w:rPr>
        <w:t>«Районный Д</w:t>
      </w:r>
      <w:r w:rsidR="002432CD" w:rsidRPr="002432CD">
        <w:rPr>
          <w:rFonts w:ascii="Times New Roman" w:hAnsi="Times New Roman" w:cs="Times New Roman"/>
          <w:sz w:val="28"/>
          <w:szCs w:val="28"/>
        </w:rPr>
        <w:t>ом культуры», муниципальное бюджетное учреждение культуры Сюмсинского района «Централизованная библиотечная система»)</w:t>
      </w:r>
    </w:p>
    <w:p w:rsidR="005E7597" w:rsidRDefault="002432CD" w:rsidP="00243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A61132" w:rsidRPr="00D54189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3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Федерации,</w:t>
      </w:r>
      <w:r w:rsidR="00AE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Удмуртской Республики от 29 июля 2013 года</w:t>
      </w:r>
      <w:r w:rsidR="00A3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337 «Об утверждении Положения об оплате труда работников бюджетных, казённых учреждений культуры, подведомственных Министерству ку</w:t>
      </w:r>
      <w:r w:rsidR="00641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льтуры Удмуртской Республики» (</w:t>
      </w:r>
      <w:r w:rsidR="00AE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</w:t>
      </w:r>
      <w:r w:rsidR="00A3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28.03.2024 года</w:t>
      </w:r>
      <w:r w:rsidR="00AE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AE2670" w:rsidRPr="00BA4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Удмуртской Республики от 21 октября 2013 года № 480 «</w:t>
      </w:r>
      <w:r w:rsidR="00D71E5D" w:rsidRPr="00BA4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E2670" w:rsidRPr="00BA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 работнико</w:t>
      </w:r>
      <w:r w:rsidR="00D71E5D" w:rsidRPr="00BA4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организаций</w:t>
      </w:r>
      <w:r w:rsidR="00AE2670" w:rsidRPr="00BA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подведомственных Министерству культуры Удмуртской Республики»,</w:t>
      </w:r>
      <w:r w:rsidR="00641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постановление</w:t>
      </w:r>
      <w:r w:rsidR="0032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«Муниципальный округ</w:t>
      </w:r>
      <w:r w:rsidR="00B82E60" w:rsidRP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Сюмсинский район Удмуртской Республики» от</w:t>
      </w:r>
      <w:r w:rsidR="00D048AC" w:rsidRP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</w:t>
      </w:r>
      <w:r w:rsidR="00B82E60" w:rsidRP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2E60" w:rsidRP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3264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B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повышении оплаты труда </w:t>
      </w:r>
      <w:r w:rsidR="00A3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категорий работников му</w:t>
      </w:r>
      <w:r w:rsidR="00B8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ниципальных учреждений в муниципальном образовании «Муниципальный округ Сюмсинский район Удмуртской Республики» </w:t>
      </w:r>
      <w:r w:rsidR="00A3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нормативно</w:t>
      </w:r>
      <w:r w:rsidR="00BA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актами, регулирующими вопросы оплаты труда, работников муниципальных учреждений </w:t>
      </w:r>
      <w:r w:rsidR="00D7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24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Уставом муниципального образования «Муниципальный округ Сюмсинский район Удмуртской Республики»,</w:t>
      </w:r>
      <w:r w:rsidR="00D7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D5418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D5418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328DC" w:rsidRPr="00A32647" w:rsidRDefault="00A32647" w:rsidP="00A328DC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A32647">
        <w:rPr>
          <w:b w:val="0"/>
          <w:sz w:val="28"/>
          <w:szCs w:val="28"/>
        </w:rPr>
        <w:t xml:space="preserve">Внести в </w:t>
      </w:r>
      <w:r w:rsidR="00862C79" w:rsidRPr="00862C79">
        <w:rPr>
          <w:b w:val="0"/>
          <w:sz w:val="28"/>
          <w:szCs w:val="28"/>
        </w:rPr>
        <w:t xml:space="preserve">Положение </w:t>
      </w:r>
      <w:r w:rsidR="00862C79" w:rsidRPr="00862C79">
        <w:rPr>
          <w:b w:val="0"/>
          <w:sz w:val="28"/>
          <w:szCs w:val="28"/>
          <w:shd w:val="clear" w:color="auto" w:fill="FFFFFF"/>
        </w:rPr>
        <w:t xml:space="preserve">об оплате труда руководителей муниципальных бюджетных учреждений культуры Сюмсинского района </w:t>
      </w:r>
      <w:r w:rsidR="00862C79" w:rsidRPr="00862C79">
        <w:rPr>
          <w:b w:val="0"/>
          <w:sz w:val="28"/>
          <w:szCs w:val="28"/>
        </w:rPr>
        <w:t xml:space="preserve">(муниципальное </w:t>
      </w:r>
      <w:r w:rsidR="00862C79" w:rsidRPr="00862C79">
        <w:rPr>
          <w:b w:val="0"/>
          <w:sz w:val="28"/>
          <w:szCs w:val="28"/>
        </w:rPr>
        <w:lastRenderedPageBreak/>
        <w:t>бюджетное образовательное учреждение дополнительного образования «Сюмсинская детская школа искусств», муниципальное бюджетное образовательное учреждение дополнительного образования «Кильмезская детская школа искусств»)</w:t>
      </w:r>
      <w:r w:rsidR="00862C79">
        <w:rPr>
          <w:b w:val="0"/>
          <w:sz w:val="28"/>
          <w:szCs w:val="28"/>
        </w:rPr>
        <w:t>,</w:t>
      </w:r>
      <w:r w:rsidR="00A328DC">
        <w:rPr>
          <w:b w:val="0"/>
          <w:sz w:val="28"/>
          <w:szCs w:val="28"/>
        </w:rPr>
        <w:t xml:space="preserve"> утвержденное постановлением Администрации муниципального образования «Муниципальный округ Сюмсинский район Удмуртской Республики» от 21 декабря 2022 года № 914 «Об утверждении Положений об оплате труда руководителей муниципальных бюджетных учреждений культуры Сюмсинского района», следующие изменения:</w:t>
      </w:r>
    </w:p>
    <w:p w:rsidR="00A328DC" w:rsidRDefault="00A328DC" w:rsidP="00A328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3E2B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</w:t>
      </w:r>
      <w:r w:rsidRPr="003E2BB2">
        <w:rPr>
          <w:bCs/>
          <w:sz w:val="28"/>
          <w:szCs w:val="28"/>
        </w:rPr>
        <w:t xml:space="preserve"> 2.2</w:t>
      </w:r>
      <w:r>
        <w:rPr>
          <w:bCs/>
          <w:sz w:val="28"/>
          <w:szCs w:val="28"/>
        </w:rPr>
        <w:t xml:space="preserve"> </w:t>
      </w:r>
      <w:r w:rsidRPr="003E2BB2">
        <w:rPr>
          <w:bCs/>
          <w:sz w:val="28"/>
          <w:szCs w:val="28"/>
        </w:rPr>
        <w:t xml:space="preserve">изложить в следующей редакции: </w:t>
      </w:r>
    </w:p>
    <w:p w:rsidR="00A328DC" w:rsidRPr="003E2BB2" w:rsidRDefault="00A328DC" w:rsidP="00A328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3E2BB2">
        <w:rPr>
          <w:sz w:val="28"/>
          <w:szCs w:val="28"/>
        </w:rPr>
        <w:t>2.2. Размер должностного оклада руководителей образовательных учреждений дополнительного образования</w:t>
      </w:r>
      <w:r>
        <w:rPr>
          <w:sz w:val="28"/>
          <w:szCs w:val="28"/>
        </w:rPr>
        <w:t xml:space="preserve"> </w:t>
      </w:r>
      <w:r w:rsidRPr="003E2BB2">
        <w:rPr>
          <w:sz w:val="28"/>
          <w:szCs w:val="28"/>
        </w:rPr>
        <w:t>устанавливается в соответствии с группой по оплате труда руководителей, к которой отнесена организация: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68"/>
        <w:gridCol w:w="1827"/>
        <w:gridCol w:w="1287"/>
        <w:gridCol w:w="1106"/>
        <w:gridCol w:w="1466"/>
      </w:tblGrid>
      <w:tr w:rsidR="00A328DC" w:rsidRPr="003E2BB2" w:rsidTr="00A328DC">
        <w:trPr>
          <w:trHeight w:val="1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DC" w:rsidRPr="003E2BB2" w:rsidRDefault="00A328DC" w:rsidP="0080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DC" w:rsidRPr="003E2BB2" w:rsidRDefault="00A328DC" w:rsidP="0080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DC" w:rsidRPr="003E2BB2" w:rsidRDefault="00A328DC" w:rsidP="0080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DC" w:rsidRPr="003E2BB2" w:rsidRDefault="00A328DC" w:rsidP="0080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DC" w:rsidRPr="003E2BB2" w:rsidRDefault="00A328DC" w:rsidP="0080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8DC" w:rsidRPr="003E2BB2" w:rsidTr="00A328DC"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Группы по оплате труда руководителей/должностные оклады, рублей</w:t>
            </w:r>
          </w:p>
        </w:tc>
      </w:tr>
      <w:tr w:rsidR="00A328DC" w:rsidRPr="003E2BB2" w:rsidTr="00A328DC">
        <w:trPr>
          <w:trHeight w:val="80"/>
        </w:trPr>
        <w:tc>
          <w:tcPr>
            <w:tcW w:w="366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I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II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III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IV</w:t>
            </w:r>
          </w:p>
        </w:tc>
      </w:tr>
      <w:tr w:rsidR="00A328DC" w:rsidRPr="003E2BB2" w:rsidTr="00A328DC"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E2BB2">
              <w:rPr>
                <w:sz w:val="28"/>
                <w:szCs w:val="28"/>
              </w:rPr>
              <w:t>Руководитель организации дополнительного образования, среднего профессионального образования, дополнительного профессионального образования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8DC" w:rsidRPr="003E2BB2" w:rsidRDefault="00A328DC" w:rsidP="008065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</w:t>
            </w:r>
          </w:p>
        </w:tc>
      </w:tr>
    </w:tbl>
    <w:p w:rsidR="00A328DC" w:rsidRPr="00A328DC" w:rsidRDefault="00A328DC" w:rsidP="00A328DC">
      <w:pPr>
        <w:pStyle w:val="ConsPlusTitle"/>
        <w:tabs>
          <w:tab w:val="left" w:pos="993"/>
        </w:tabs>
        <w:ind w:left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»;</w:t>
      </w:r>
    </w:p>
    <w:p w:rsidR="00D71E5D" w:rsidRPr="00A32647" w:rsidRDefault="00862C79" w:rsidP="00D71E5D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54189" w:rsidRPr="00A32647">
        <w:rPr>
          <w:b w:val="0"/>
          <w:sz w:val="28"/>
          <w:szCs w:val="28"/>
        </w:rPr>
        <w:t xml:space="preserve">Положение </w:t>
      </w:r>
      <w:r w:rsidR="00D54189" w:rsidRPr="00A32647">
        <w:rPr>
          <w:b w:val="0"/>
          <w:sz w:val="28"/>
          <w:szCs w:val="28"/>
          <w:shd w:val="clear" w:color="auto" w:fill="FFFFFF"/>
        </w:rPr>
        <w:t xml:space="preserve">об оплате труда руководителей муниципальных бюджетных учреждений культуры </w:t>
      </w:r>
      <w:r w:rsidR="004123C4" w:rsidRPr="00A32647">
        <w:rPr>
          <w:b w:val="0"/>
          <w:sz w:val="28"/>
          <w:szCs w:val="28"/>
          <w:shd w:val="clear" w:color="auto" w:fill="FFFFFF"/>
        </w:rPr>
        <w:t xml:space="preserve">Сюмсинского района </w:t>
      </w:r>
      <w:r w:rsidR="00D54189" w:rsidRPr="00A32647">
        <w:rPr>
          <w:b w:val="0"/>
          <w:sz w:val="28"/>
          <w:szCs w:val="28"/>
        </w:rPr>
        <w:t xml:space="preserve">(муниципальное бюджетное учреждение культуры </w:t>
      </w:r>
      <w:r w:rsidR="00A32647">
        <w:rPr>
          <w:b w:val="0"/>
          <w:sz w:val="28"/>
          <w:szCs w:val="28"/>
        </w:rPr>
        <w:t xml:space="preserve">Сюмсинского района </w:t>
      </w:r>
      <w:r w:rsidR="00D54189" w:rsidRPr="00A32647">
        <w:rPr>
          <w:b w:val="0"/>
          <w:sz w:val="28"/>
          <w:szCs w:val="28"/>
        </w:rPr>
        <w:t xml:space="preserve">«Районный дом культуры», муниципальное бюджетное учреждение культуры </w:t>
      </w:r>
      <w:r w:rsidR="00A32647">
        <w:rPr>
          <w:b w:val="0"/>
          <w:sz w:val="28"/>
          <w:szCs w:val="28"/>
        </w:rPr>
        <w:t xml:space="preserve">Сюмсинского района </w:t>
      </w:r>
      <w:r w:rsidR="00D54189" w:rsidRPr="00A32647">
        <w:rPr>
          <w:b w:val="0"/>
          <w:sz w:val="28"/>
          <w:szCs w:val="28"/>
        </w:rPr>
        <w:t>«Централизованная библиотечная с</w:t>
      </w:r>
      <w:r w:rsidR="00A32647">
        <w:rPr>
          <w:b w:val="0"/>
          <w:sz w:val="28"/>
          <w:szCs w:val="28"/>
        </w:rPr>
        <w:t>истема</w:t>
      </w:r>
      <w:r w:rsidR="00D54189" w:rsidRPr="00A32647">
        <w:rPr>
          <w:b w:val="0"/>
          <w:sz w:val="28"/>
          <w:szCs w:val="28"/>
        </w:rPr>
        <w:t>»)</w:t>
      </w:r>
      <w:r w:rsidR="003B0165">
        <w:rPr>
          <w:b w:val="0"/>
          <w:sz w:val="28"/>
          <w:szCs w:val="28"/>
        </w:rPr>
        <w:t xml:space="preserve">, утвержденное постановлением Администрации муниципального образования «Муниципальный округ Сюмсинский район Удмуртской Республики» от 21 декабря 2022 года № 914 </w:t>
      </w:r>
      <w:r>
        <w:rPr>
          <w:b w:val="0"/>
          <w:sz w:val="28"/>
          <w:szCs w:val="28"/>
        </w:rPr>
        <w:t>«Об утверждении Положений об оплате труда руководителей муниципальных бюджетных учреждений культуры Сюмсинского района»,</w:t>
      </w:r>
      <w:r w:rsidR="003E2BB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A32647">
        <w:rPr>
          <w:b w:val="0"/>
          <w:sz w:val="28"/>
          <w:szCs w:val="28"/>
        </w:rPr>
        <w:t>:</w:t>
      </w:r>
    </w:p>
    <w:p w:rsidR="00A32647" w:rsidRPr="003E2BB2" w:rsidRDefault="00A32647" w:rsidP="00A3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BB2">
        <w:rPr>
          <w:rFonts w:ascii="Times New Roman" w:hAnsi="Times New Roman" w:cs="Times New Roman"/>
          <w:bCs/>
          <w:sz w:val="28"/>
          <w:szCs w:val="28"/>
        </w:rPr>
        <w:t>1) п</w:t>
      </w:r>
      <w:r w:rsidR="00862C79">
        <w:rPr>
          <w:rFonts w:ascii="Times New Roman" w:hAnsi="Times New Roman" w:cs="Times New Roman"/>
          <w:bCs/>
          <w:sz w:val="28"/>
          <w:szCs w:val="28"/>
        </w:rPr>
        <w:t>ункт</w:t>
      </w:r>
      <w:r w:rsidRPr="003E2BB2">
        <w:rPr>
          <w:rFonts w:ascii="Times New Roman" w:hAnsi="Times New Roman" w:cs="Times New Roman"/>
          <w:bCs/>
          <w:sz w:val="28"/>
          <w:szCs w:val="28"/>
        </w:rPr>
        <w:t xml:space="preserve"> 2.2</w:t>
      </w:r>
      <w:r w:rsidR="00862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2BB2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A32647" w:rsidRDefault="00A32647" w:rsidP="00A3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«2.2.</w:t>
      </w:r>
      <w:r w:rsidR="00862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Размер должностного оклада руководителей учреждений культуры устанавливается исходя из группы по оплате труда руководителей: </w:t>
      </w: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2126"/>
        <w:gridCol w:w="56"/>
        <w:gridCol w:w="1645"/>
      </w:tblGrid>
      <w:tr w:rsidR="003B0165" w:rsidRPr="00693628" w:rsidTr="00A328DC">
        <w:trPr>
          <w:trHeight w:val="833"/>
        </w:trPr>
        <w:tc>
          <w:tcPr>
            <w:tcW w:w="5670" w:type="dxa"/>
          </w:tcPr>
          <w:p w:rsidR="003B0165" w:rsidRPr="003B0165" w:rsidRDefault="003B0165" w:rsidP="00656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82" w:type="dxa"/>
            <w:gridSpan w:val="2"/>
          </w:tcPr>
          <w:p w:rsidR="003B0165" w:rsidRPr="003B0165" w:rsidRDefault="003B0165" w:rsidP="00656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B0165" w:rsidRPr="003B0165" w:rsidRDefault="003B0165" w:rsidP="00656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1645" w:type="dxa"/>
          </w:tcPr>
          <w:p w:rsidR="003B0165" w:rsidRPr="003B0165" w:rsidRDefault="003B0165" w:rsidP="00656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3B0165" w:rsidRPr="00693628" w:rsidTr="00A328DC">
        <w:tc>
          <w:tcPr>
            <w:tcW w:w="5670" w:type="dxa"/>
          </w:tcPr>
          <w:p w:rsidR="00A328DC" w:rsidRPr="003B0165" w:rsidRDefault="003B0165" w:rsidP="005A4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 организациях исполнительских искусств, художественный руководитель, осуществляющий руководство организацией </w:t>
            </w:r>
            <w:r w:rsidRPr="003B0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исполнительского искусства на основе единоначалия</w:t>
            </w:r>
          </w:p>
        </w:tc>
        <w:tc>
          <w:tcPr>
            <w:tcW w:w="2126" w:type="dxa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устанавливается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34606</w:t>
            </w:r>
          </w:p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22677</w:t>
            </w:r>
            <w:hyperlink w:anchor="P412" w:history="1">
              <w:r w:rsidRPr="003B016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3B0165" w:rsidRPr="00693628" w:rsidTr="00A328DC">
        <w:tc>
          <w:tcPr>
            <w:tcW w:w="5670" w:type="dxa"/>
            <w:vMerge w:val="restart"/>
          </w:tcPr>
          <w:p w:rsidR="003B0165" w:rsidRPr="003B0165" w:rsidRDefault="003B0165" w:rsidP="006563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в библиотеках, музеях, музейно-выставочных центрах, зоологических парках, парках культуры и отдыха, культурно-досуговых учреждениях, методических центрах, центрах декоративно-прикладного искусства и ремесел, учреждениях, основной деятельностью которых является охрана исторических мест и зданий, иных учреждениях</w:t>
            </w:r>
          </w:p>
          <w:p w:rsidR="003B0165" w:rsidRPr="003B0165" w:rsidRDefault="003B0165" w:rsidP="006563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3B0165" w:rsidRPr="003B0165" w:rsidRDefault="003B0165" w:rsidP="006563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&lt;*&gt; Рекомендовано для органов местного самоуправления в Удмуртской Республике при принятии нормативных правовых актов по оплате труда работников муниципальных учреждений культуры, финансируемых из местных бюджетов</w:t>
            </w:r>
          </w:p>
        </w:tc>
        <w:tc>
          <w:tcPr>
            <w:tcW w:w="2126" w:type="dxa"/>
            <w:vMerge w:val="restart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31839</w:t>
            </w:r>
          </w:p>
        </w:tc>
      </w:tr>
      <w:tr w:rsidR="003B0165" w:rsidRPr="00693628" w:rsidTr="00A328DC">
        <w:tc>
          <w:tcPr>
            <w:tcW w:w="5670" w:type="dxa"/>
            <w:vMerge/>
          </w:tcPr>
          <w:p w:rsidR="003B0165" w:rsidRPr="003B0165" w:rsidRDefault="003B0165" w:rsidP="0065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B0165" w:rsidRPr="003B0165" w:rsidRDefault="003B0165" w:rsidP="008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19796</w:t>
            </w:r>
          </w:p>
          <w:p w:rsidR="003B0165" w:rsidRPr="003B0165" w:rsidRDefault="003725A6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2" w:history="1">
              <w:r w:rsidR="003B0165" w:rsidRPr="003B016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3B0165" w:rsidRPr="00693628" w:rsidTr="00A328DC">
        <w:tc>
          <w:tcPr>
            <w:tcW w:w="5670" w:type="dxa"/>
            <w:vMerge/>
          </w:tcPr>
          <w:p w:rsidR="003B0165" w:rsidRPr="003B0165" w:rsidRDefault="003B0165" w:rsidP="0065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19796</w:t>
            </w:r>
          </w:p>
          <w:p w:rsidR="003B0165" w:rsidRPr="003B0165" w:rsidRDefault="003725A6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2" w:history="1">
              <w:r w:rsidR="003B0165" w:rsidRPr="003B016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3B0165" w:rsidRPr="00693628" w:rsidTr="00A328DC">
        <w:tc>
          <w:tcPr>
            <w:tcW w:w="5670" w:type="dxa"/>
            <w:vMerge/>
          </w:tcPr>
          <w:p w:rsidR="003B0165" w:rsidRPr="003B0165" w:rsidRDefault="003B0165" w:rsidP="0065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12"/>
            <w:bookmarkEnd w:id="0"/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18499</w:t>
            </w:r>
          </w:p>
        </w:tc>
      </w:tr>
      <w:tr w:rsidR="003B0165" w:rsidRPr="00693628" w:rsidTr="00A328DC">
        <w:tc>
          <w:tcPr>
            <w:tcW w:w="5670" w:type="dxa"/>
            <w:vMerge/>
          </w:tcPr>
          <w:p w:rsidR="003B0165" w:rsidRPr="003B0165" w:rsidRDefault="003B0165" w:rsidP="0065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17303</w:t>
            </w:r>
          </w:p>
          <w:p w:rsidR="003B0165" w:rsidRPr="003B0165" w:rsidRDefault="003725A6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2" w:history="1">
              <w:r w:rsidR="003B0165" w:rsidRPr="003B016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3B0165" w:rsidRPr="00693628" w:rsidTr="00A328DC">
        <w:tc>
          <w:tcPr>
            <w:tcW w:w="5670" w:type="dxa"/>
            <w:vMerge/>
          </w:tcPr>
          <w:p w:rsidR="003B0165" w:rsidRPr="003B0165" w:rsidRDefault="003B0165" w:rsidP="0065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16096</w:t>
            </w:r>
          </w:p>
          <w:p w:rsidR="003B0165" w:rsidRPr="003B0165" w:rsidRDefault="003725A6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2" w:history="1">
              <w:r w:rsidR="003B0165" w:rsidRPr="003B016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3B0165" w:rsidRPr="00693628" w:rsidTr="00A328DC">
        <w:tc>
          <w:tcPr>
            <w:tcW w:w="5670" w:type="dxa"/>
            <w:vMerge/>
          </w:tcPr>
          <w:p w:rsidR="003B0165" w:rsidRPr="003B0165" w:rsidRDefault="003B0165" w:rsidP="0065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учреждение вне группы</w:t>
            </w:r>
          </w:p>
        </w:tc>
        <w:tc>
          <w:tcPr>
            <w:tcW w:w="1701" w:type="dxa"/>
            <w:gridSpan w:val="2"/>
          </w:tcPr>
          <w:p w:rsidR="003B0165" w:rsidRPr="003B0165" w:rsidRDefault="003B0165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5">
              <w:rPr>
                <w:rFonts w:ascii="Times New Roman" w:hAnsi="Times New Roman" w:cs="Times New Roman"/>
                <w:sz w:val="28"/>
                <w:szCs w:val="28"/>
              </w:rPr>
              <w:t>14976</w:t>
            </w:r>
          </w:p>
          <w:p w:rsidR="003B0165" w:rsidRPr="003B0165" w:rsidRDefault="003725A6" w:rsidP="00862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2" w:history="1">
              <w:r w:rsidR="003B0165" w:rsidRPr="003B016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A32647" w:rsidRDefault="003B0165" w:rsidP="003E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32647" w:rsidRDefault="00BA49D3" w:rsidP="00BA49D3">
      <w:pPr>
        <w:pStyle w:val="ConsPlusTitle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Действие </w:t>
      </w:r>
      <w:r w:rsidR="0009070B" w:rsidRPr="00A32647">
        <w:rPr>
          <w:b w:val="0"/>
          <w:sz w:val="28"/>
          <w:szCs w:val="28"/>
        </w:rPr>
        <w:t xml:space="preserve">положений </w:t>
      </w:r>
      <w:r>
        <w:rPr>
          <w:b w:val="0"/>
          <w:sz w:val="28"/>
          <w:szCs w:val="28"/>
        </w:rPr>
        <w:t xml:space="preserve">пункта 1 настоящего постановления </w:t>
      </w:r>
      <w:r w:rsidR="0009070B" w:rsidRPr="00A32647">
        <w:rPr>
          <w:b w:val="0"/>
          <w:sz w:val="28"/>
          <w:szCs w:val="28"/>
        </w:rPr>
        <w:t>распространяется на правоотношения</w:t>
      </w:r>
      <w:r w:rsidR="00FA7E53" w:rsidRPr="00A32647">
        <w:rPr>
          <w:b w:val="0"/>
          <w:sz w:val="28"/>
          <w:szCs w:val="28"/>
        </w:rPr>
        <w:t>, возникшие</w:t>
      </w:r>
      <w:r w:rsidR="00A328DC">
        <w:rPr>
          <w:b w:val="0"/>
          <w:sz w:val="28"/>
          <w:szCs w:val="28"/>
        </w:rPr>
        <w:t xml:space="preserve"> </w:t>
      </w:r>
      <w:r w:rsidR="0009070B" w:rsidRPr="00A32647">
        <w:rPr>
          <w:b w:val="0"/>
          <w:sz w:val="28"/>
          <w:szCs w:val="28"/>
        </w:rPr>
        <w:t xml:space="preserve">с </w:t>
      </w:r>
      <w:r w:rsidR="00A328DC">
        <w:rPr>
          <w:b w:val="0"/>
          <w:sz w:val="28"/>
          <w:szCs w:val="28"/>
        </w:rPr>
        <w:t xml:space="preserve">1 </w:t>
      </w:r>
      <w:r w:rsidR="005A47B2">
        <w:rPr>
          <w:b w:val="0"/>
          <w:sz w:val="28"/>
          <w:szCs w:val="28"/>
        </w:rPr>
        <w:t>марта</w:t>
      </w:r>
      <w:r w:rsidR="00A328DC">
        <w:rPr>
          <w:b w:val="0"/>
          <w:sz w:val="28"/>
          <w:szCs w:val="28"/>
        </w:rPr>
        <w:t xml:space="preserve"> </w:t>
      </w:r>
      <w:r w:rsidR="0009070B" w:rsidRPr="00A32647">
        <w:rPr>
          <w:b w:val="0"/>
          <w:sz w:val="28"/>
          <w:szCs w:val="28"/>
        </w:rPr>
        <w:t>202</w:t>
      </w:r>
      <w:r w:rsidR="00A32647" w:rsidRPr="00A326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:rsidR="00BA49D3" w:rsidRDefault="00BA49D3" w:rsidP="00BA49D3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Действие </w:t>
      </w:r>
      <w:r w:rsidRPr="00A32647">
        <w:rPr>
          <w:b w:val="0"/>
          <w:sz w:val="28"/>
          <w:szCs w:val="28"/>
        </w:rPr>
        <w:t xml:space="preserve">положений </w:t>
      </w:r>
      <w:r>
        <w:rPr>
          <w:b w:val="0"/>
          <w:sz w:val="28"/>
          <w:szCs w:val="28"/>
        </w:rPr>
        <w:t xml:space="preserve">пункта 2 настоящего постановления </w:t>
      </w:r>
      <w:r w:rsidRPr="00A32647">
        <w:rPr>
          <w:b w:val="0"/>
          <w:sz w:val="28"/>
          <w:szCs w:val="28"/>
        </w:rPr>
        <w:t xml:space="preserve">распространяется на </w:t>
      </w:r>
      <w:r w:rsidR="00A328DC">
        <w:rPr>
          <w:b w:val="0"/>
          <w:sz w:val="28"/>
          <w:szCs w:val="28"/>
        </w:rPr>
        <w:t xml:space="preserve">правоотношения, возникшие </w:t>
      </w:r>
      <w:r w:rsidRPr="00A32647">
        <w:rPr>
          <w:b w:val="0"/>
          <w:sz w:val="28"/>
          <w:szCs w:val="28"/>
        </w:rPr>
        <w:t xml:space="preserve">с </w:t>
      </w:r>
      <w:r w:rsidR="00A328DC">
        <w:rPr>
          <w:b w:val="0"/>
          <w:sz w:val="28"/>
          <w:szCs w:val="28"/>
        </w:rPr>
        <w:t xml:space="preserve">1 </w:t>
      </w:r>
      <w:r w:rsidR="005A47B2">
        <w:rPr>
          <w:b w:val="0"/>
          <w:sz w:val="28"/>
          <w:szCs w:val="28"/>
        </w:rPr>
        <w:t>января</w:t>
      </w:r>
      <w:r w:rsidR="00A328DC">
        <w:rPr>
          <w:b w:val="0"/>
          <w:sz w:val="28"/>
          <w:szCs w:val="28"/>
        </w:rPr>
        <w:t xml:space="preserve"> </w:t>
      </w:r>
      <w:r w:rsidRPr="00A32647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года.</w:t>
      </w:r>
    </w:p>
    <w:p w:rsidR="00A32647" w:rsidRPr="00A32647" w:rsidRDefault="00D71E5D" w:rsidP="00BA49D3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A32647">
        <w:rPr>
          <w:b w:val="0"/>
          <w:sz w:val="28"/>
          <w:szCs w:val="28"/>
        </w:rPr>
        <w:t xml:space="preserve"> Контроль за исполнением настоящего постановления возложить на </w:t>
      </w:r>
      <w:r w:rsidR="00A32647">
        <w:rPr>
          <w:b w:val="0"/>
          <w:sz w:val="28"/>
          <w:szCs w:val="28"/>
        </w:rPr>
        <w:t xml:space="preserve">первого </w:t>
      </w:r>
      <w:r w:rsidRPr="00A32647">
        <w:rPr>
          <w:b w:val="0"/>
          <w:sz w:val="28"/>
          <w:szCs w:val="28"/>
        </w:rPr>
        <w:t xml:space="preserve">заместителя главы Администрации </w:t>
      </w:r>
      <w:r w:rsidR="00A328DC">
        <w:rPr>
          <w:b w:val="0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9070B" w:rsidRPr="00A32647">
        <w:rPr>
          <w:b w:val="0"/>
          <w:sz w:val="28"/>
          <w:szCs w:val="28"/>
        </w:rPr>
        <w:t xml:space="preserve"> Овечкину Э.А.</w:t>
      </w:r>
    </w:p>
    <w:p w:rsidR="00D71E5D" w:rsidRPr="00A32647" w:rsidRDefault="0009070B" w:rsidP="00BA49D3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A32647">
        <w:rPr>
          <w:b w:val="0"/>
          <w:sz w:val="28"/>
          <w:szCs w:val="28"/>
        </w:rPr>
        <w:t xml:space="preserve"> </w:t>
      </w:r>
      <w:r w:rsidR="00D71E5D" w:rsidRPr="00A32647">
        <w:rPr>
          <w:b w:val="0"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D71E5D" w:rsidRPr="00A32647" w:rsidRDefault="00D71E5D" w:rsidP="00D71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70B" w:rsidRDefault="0009070B" w:rsidP="00D71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E5D" w:rsidRPr="003F21F5" w:rsidRDefault="00584407" w:rsidP="00D71E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</w:t>
      </w:r>
      <w:r w:rsidR="00D71E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E5D" w:rsidRPr="000009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5D" w:rsidRPr="000009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1E5D">
        <w:rPr>
          <w:rFonts w:ascii="Times New Roman" w:hAnsi="Times New Roman" w:cs="Times New Roman"/>
          <w:sz w:val="28"/>
          <w:szCs w:val="28"/>
        </w:rPr>
        <w:t xml:space="preserve"> </w:t>
      </w:r>
      <w:r w:rsidR="00A32647">
        <w:rPr>
          <w:rFonts w:ascii="Times New Roman" w:hAnsi="Times New Roman" w:cs="Times New Roman"/>
          <w:sz w:val="28"/>
          <w:szCs w:val="28"/>
        </w:rPr>
        <w:t xml:space="preserve">  </w:t>
      </w:r>
      <w:r w:rsidR="00D71E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П.П.</w:t>
      </w:r>
      <w:r w:rsidR="00A32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sectPr w:rsidR="00D71E5D" w:rsidRPr="003F21F5" w:rsidSect="00A328DC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80" w:rsidRDefault="00376480" w:rsidP="004408F5">
      <w:pPr>
        <w:spacing w:after="0" w:line="240" w:lineRule="auto"/>
      </w:pPr>
      <w:r>
        <w:separator/>
      </w:r>
    </w:p>
  </w:endnote>
  <w:endnote w:type="continuationSeparator" w:id="1">
    <w:p w:rsidR="00376480" w:rsidRDefault="0037648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80" w:rsidRDefault="00376480" w:rsidP="004408F5">
      <w:pPr>
        <w:spacing w:after="0" w:line="240" w:lineRule="auto"/>
      </w:pPr>
      <w:r>
        <w:separator/>
      </w:r>
    </w:p>
  </w:footnote>
  <w:footnote w:type="continuationSeparator" w:id="1">
    <w:p w:rsidR="00376480" w:rsidRDefault="0037648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3725A6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935429">
          <w:rPr>
            <w:noProof/>
          </w:rPr>
          <w:t>3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F76329"/>
    <w:multiLevelType w:val="hybridMultilevel"/>
    <w:tmpl w:val="5D96C25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C15BA"/>
    <w:multiLevelType w:val="hybridMultilevel"/>
    <w:tmpl w:val="CAB04288"/>
    <w:lvl w:ilvl="0" w:tplc="0D3617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04EEA"/>
    <w:rsid w:val="00054B34"/>
    <w:rsid w:val="000734BF"/>
    <w:rsid w:val="00081744"/>
    <w:rsid w:val="0008369A"/>
    <w:rsid w:val="0009070B"/>
    <w:rsid w:val="000A4333"/>
    <w:rsid w:val="000B7BEA"/>
    <w:rsid w:val="000D575A"/>
    <w:rsid w:val="00163B94"/>
    <w:rsid w:val="00175F72"/>
    <w:rsid w:val="002000F9"/>
    <w:rsid w:val="002432CD"/>
    <w:rsid w:val="003209BF"/>
    <w:rsid w:val="003226EA"/>
    <w:rsid w:val="00334EB5"/>
    <w:rsid w:val="00352F4C"/>
    <w:rsid w:val="003725A6"/>
    <w:rsid w:val="00376480"/>
    <w:rsid w:val="00380E63"/>
    <w:rsid w:val="003B0165"/>
    <w:rsid w:val="003D7E34"/>
    <w:rsid w:val="003E2BB2"/>
    <w:rsid w:val="004123C4"/>
    <w:rsid w:val="004408F5"/>
    <w:rsid w:val="00444367"/>
    <w:rsid w:val="004518E6"/>
    <w:rsid w:val="00482D9F"/>
    <w:rsid w:val="00584407"/>
    <w:rsid w:val="005901AB"/>
    <w:rsid w:val="005A47B2"/>
    <w:rsid w:val="005E7597"/>
    <w:rsid w:val="00636F73"/>
    <w:rsid w:val="00641554"/>
    <w:rsid w:val="006664BA"/>
    <w:rsid w:val="006909AA"/>
    <w:rsid w:val="006A3446"/>
    <w:rsid w:val="006B7795"/>
    <w:rsid w:val="006F3421"/>
    <w:rsid w:val="00764E26"/>
    <w:rsid w:val="00771565"/>
    <w:rsid w:val="00786619"/>
    <w:rsid w:val="0079119D"/>
    <w:rsid w:val="00794AB8"/>
    <w:rsid w:val="00795F22"/>
    <w:rsid w:val="007C2837"/>
    <w:rsid w:val="007E0619"/>
    <w:rsid w:val="00817AA0"/>
    <w:rsid w:val="00841F2E"/>
    <w:rsid w:val="00842372"/>
    <w:rsid w:val="00861D37"/>
    <w:rsid w:val="00862C79"/>
    <w:rsid w:val="00890156"/>
    <w:rsid w:val="008C4FCF"/>
    <w:rsid w:val="008C6121"/>
    <w:rsid w:val="008E44A9"/>
    <w:rsid w:val="00901FF3"/>
    <w:rsid w:val="00935429"/>
    <w:rsid w:val="00992872"/>
    <w:rsid w:val="009A3D6B"/>
    <w:rsid w:val="009D1CDB"/>
    <w:rsid w:val="009F7524"/>
    <w:rsid w:val="00A00583"/>
    <w:rsid w:val="00A10118"/>
    <w:rsid w:val="00A30C39"/>
    <w:rsid w:val="00A32647"/>
    <w:rsid w:val="00A328DC"/>
    <w:rsid w:val="00A34F66"/>
    <w:rsid w:val="00A53C4C"/>
    <w:rsid w:val="00A61132"/>
    <w:rsid w:val="00AA33BF"/>
    <w:rsid w:val="00AB0B44"/>
    <w:rsid w:val="00AB2351"/>
    <w:rsid w:val="00AC1C1F"/>
    <w:rsid w:val="00AE2670"/>
    <w:rsid w:val="00AF2DC6"/>
    <w:rsid w:val="00B272EC"/>
    <w:rsid w:val="00B33DA2"/>
    <w:rsid w:val="00B64A97"/>
    <w:rsid w:val="00B82E60"/>
    <w:rsid w:val="00BA49D3"/>
    <w:rsid w:val="00BE5718"/>
    <w:rsid w:val="00BF244F"/>
    <w:rsid w:val="00C10934"/>
    <w:rsid w:val="00C328D0"/>
    <w:rsid w:val="00CD493C"/>
    <w:rsid w:val="00CD6E9C"/>
    <w:rsid w:val="00CF5C22"/>
    <w:rsid w:val="00D048AC"/>
    <w:rsid w:val="00D24B68"/>
    <w:rsid w:val="00D3669B"/>
    <w:rsid w:val="00D45852"/>
    <w:rsid w:val="00D54189"/>
    <w:rsid w:val="00D71E5D"/>
    <w:rsid w:val="00D97853"/>
    <w:rsid w:val="00DB44E7"/>
    <w:rsid w:val="00DB5BC8"/>
    <w:rsid w:val="00E02EFA"/>
    <w:rsid w:val="00E4658F"/>
    <w:rsid w:val="00E80F5D"/>
    <w:rsid w:val="00F26487"/>
    <w:rsid w:val="00F53211"/>
    <w:rsid w:val="00FA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71E5D"/>
    <w:pPr>
      <w:ind w:left="720"/>
      <w:contextualSpacing/>
    </w:pPr>
  </w:style>
  <w:style w:type="paragraph" w:customStyle="1" w:styleId="ConsPlusNormal">
    <w:name w:val="ConsPlusNormal"/>
    <w:uiPriority w:val="99"/>
    <w:rsid w:val="003B0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3E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D7BA-B0EA-4D56-BE6F-7BD7E7A7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2022-02-01T12:03:00Z</cp:lastPrinted>
  <dcterms:created xsi:type="dcterms:W3CDTF">2024-05-15T10:57:00Z</dcterms:created>
  <dcterms:modified xsi:type="dcterms:W3CDTF">2024-05-15T10:57:00Z</dcterms:modified>
</cp:coreProperties>
</file>