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02" w:type="dxa"/>
        <w:jc w:val="start"/>
        <w:tblInd w:w="-10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21"/>
        <w:gridCol w:w="1276"/>
        <w:gridCol w:w="4005"/>
      </w:tblGrid>
      <w:tr>
        <w:trPr>
          <w:trHeight w:val="1257" w:hRule="atLeast"/>
        </w:trPr>
        <w:tc>
          <w:tcPr>
            <w:tcW w:w="4221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Администрация </w:t>
              <w:br/>
              <w:t xml:space="preserve">муниципального образования «Сюмсинский район» </w:t>
              <w:br/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3740" cy="68135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«Сюмси ёрос»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57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муниципал кылдытэтлэн Администрациез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</w:tr>
    </w:tbl>
    <w:p>
      <w:pPr>
        <w:pStyle w:val="Heading1"/>
        <w:bidi w:val="0"/>
        <w:ind w:hanging="0" w:start="0" w:end="0"/>
        <w:rPr>
          <w:rFonts w:ascii="Times New Roman" w:hAnsi="Times New Roman"/>
          <w:spacing w:val="20"/>
          <w:sz w:val="40"/>
          <w:szCs w:val="40"/>
        </w:rPr>
      </w:pPr>
      <w:r>
        <w:rPr>
          <w:rFonts w:ascii="Times New Roman" w:hAnsi="Times New Roman"/>
          <w:spacing w:val="20"/>
          <w:sz w:val="40"/>
          <w:szCs w:val="40"/>
        </w:rPr>
        <w:t>ПОСТАНОВЛЕНИЕ</w:t>
      </w:r>
    </w:p>
    <w:p>
      <w:pPr>
        <w:pStyle w:val="Heading1"/>
        <w:bidi w:val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Heading1"/>
        <w:bidi w:val="0"/>
        <w:ind w:hanging="0" w:start="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>
      <w:pPr>
        <w:pStyle w:val="Normal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16 октября 2019 года                                                                                  № 408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с. Сюмси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4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448"/>
      </w:tblGrid>
      <w:tr>
        <w:trPr>
          <w:trHeight w:val="145" w:hRule="atLeast"/>
        </w:trPr>
        <w:tc>
          <w:tcPr>
            <w:tcW w:w="9448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 утверждении руководства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firstLine="567" w:start="0" w:end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</w:t>
      </w:r>
      <w:r>
        <w:rPr>
          <w:rFonts w:cs="Times New Roman" w:ascii="Times New Roman" w:hAnsi="Times New Roman"/>
          <w:bCs/>
          <w:sz w:val="28"/>
          <w:szCs w:val="28"/>
        </w:rPr>
        <w:t xml:space="preserve"> Земельным кодексом Российской Федерации, частью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cs="Times New Roman" w:ascii="Times New Roman" w:hAnsi="Times New Roman"/>
          <w:sz w:val="28"/>
          <w:szCs w:val="28"/>
        </w:rPr>
        <w:t xml:space="preserve">, руководствуясь Уставом муниципального образования «Сюмсинский район», </w:t>
      </w: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муниципального образования «Сюмсинский район»  </w:t>
      </w:r>
      <w:r>
        <w:rPr>
          <w:rFonts w:cs="Times New Roman" w:ascii="Times New Roman" w:hAnsi="Times New Roman"/>
          <w:b/>
          <w:spacing w:val="20"/>
          <w:sz w:val="28"/>
          <w:szCs w:val="28"/>
        </w:rPr>
        <w:t>постановляет</w:t>
      </w:r>
      <w:r>
        <w:rPr>
          <w:rFonts w:cs="Times New Roman" w:ascii="Times New Roman" w:hAnsi="Times New Roman"/>
          <w:b/>
          <w:sz w:val="28"/>
          <w:szCs w:val="28"/>
        </w:rPr>
        <w:t xml:space="preserve">: </w:t>
      </w:r>
    </w:p>
    <w:p>
      <w:pPr>
        <w:pStyle w:val="Normal"/>
        <w:widowControl w:val="false"/>
        <w:bidi w:val="0"/>
        <w:spacing w:before="0" w:after="0"/>
        <w:ind w:firstLine="567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прилагаемое 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(далее – руководство).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«Сюмсинский район»                                                                         В.И.Семенов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398" w:type="dxa"/>
        <w:jc w:val="start"/>
        <w:tblInd w:w="507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398"/>
      </w:tblGrid>
      <w:tr>
        <w:trPr>
          <w:trHeight w:val="854" w:hRule="atLeast"/>
        </w:trPr>
        <w:tc>
          <w:tcPr>
            <w:tcW w:w="4398" w:type="dxa"/>
            <w:tcBorders/>
          </w:tcPr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УТВЕРЖДЕНО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«Сюмсинский район» </w:t>
            </w:r>
          </w:p>
          <w:p>
            <w:pPr>
              <w:pStyle w:val="BodyText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16 октября 2019 года № 408</w:t>
            </w:r>
          </w:p>
        </w:tc>
      </w:tr>
    </w:tbl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РУКОВОДСТВО </w:t>
      </w:r>
    </w:p>
    <w:p>
      <w:pPr>
        <w:pStyle w:val="Normal"/>
        <w:widowControl w:val="false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соблюдению обязательных требований земельного законодательства, предъявляемых при проведении мероприятий по осуществлению </w:t>
      </w:r>
    </w:p>
    <w:p>
      <w:pPr>
        <w:pStyle w:val="Normal"/>
        <w:widowControl w:val="false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земельного контроля </w:t>
      </w:r>
    </w:p>
    <w:p>
      <w:pPr>
        <w:pStyle w:val="NoSpacing"/>
        <w:bidi w:val="0"/>
        <w:ind w:hanging="0" w:start="0" w:end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положениями Земельного кодекса Российской Федерации от 25 октября 2001 года № 136-ФЗ (далее – Земельный кодекс РФ) 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Объектами земельных отношений являются: земля как природный объект и природный ресурс; земельные участки; части земельных участков. В свою очередь, 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Государственный кадастровый учет земельных участков осуществляется в соответствии с Федеральным законом от 13 июля 2015 года № 218-ФЗ «О государственной регистрации недвижимости» (далее – Федеральный закон № 218-ФЗ).</w:t>
      </w:r>
    </w:p>
    <w:p>
      <w:pPr>
        <w:pStyle w:val="Heading4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/>
          <w:b w:val="false"/>
          <w:i/>
          <w:i/>
        </w:rPr>
      </w:pPr>
      <w:r>
        <w:rPr>
          <w:rFonts w:ascii="Times New Roman" w:hAnsi="Times New Roman"/>
          <w:b w:val="false"/>
          <w:i/>
        </w:rPr>
      </w:r>
    </w:p>
    <w:p>
      <w:pPr>
        <w:pStyle w:val="Heading4"/>
        <w:widowControl w:val="false"/>
        <w:bidi w:val="0"/>
        <w:spacing w:before="0" w:after="0"/>
        <w:ind w:firstLine="709" w:start="0" w:end="0"/>
        <w:jc w:val="center"/>
        <w:rPr>
          <w:rFonts w:ascii="Times New Roman" w:hAnsi="Times New Roman"/>
          <w:b w:val="false"/>
          <w:i/>
          <w:i/>
        </w:rPr>
      </w:pPr>
      <w:r>
        <w:rPr>
          <w:rFonts w:ascii="Times New Roman" w:hAnsi="Times New Roman"/>
        </w:rPr>
        <w:t>Обязанности правообладателей земельных участков</w:t>
      </w:r>
    </w:p>
    <w:p>
      <w:pPr>
        <w:pStyle w:val="Normal"/>
        <w:widowControl w:val="false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статье 42 Земельного кодекса РФ собственники земельных участков и лица, не являющиеся собственниками земельных участков, обязаны: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>
      <w:pPr>
        <w:pStyle w:val="BodyTextIndent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своевременно производить платежи за землю;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выполнять иные требования, предусмотренные Земельным кодексом, федеральными законами.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ing3"/>
        <w:widowControl w:val="false"/>
        <w:bidi w:val="0"/>
        <w:spacing w:before="0" w:after="0"/>
        <w:ind w:firstLine="709" w:start="0" w:end="0"/>
        <w:jc w:val="center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прав на земельный участок</w:t>
      </w:r>
    </w:p>
    <w:p>
      <w:pPr>
        <w:pStyle w:val="Normal"/>
        <w:widowControl w:val="false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частью 1 статьи 25 Земельного кодекса РФ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№ 218-ФЗ.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Права на земельные участки удостоверяются документами в порядке, установленном Федеральным законом № 218-ФЗ.</w:t>
      </w:r>
    </w:p>
    <w:p>
      <w:pPr>
        <w:pStyle w:val="BodyTextIndent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</w:t>
      </w:r>
      <w:hyperlink r:id="rId3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val="ru-RU" w:eastAsia="en-US" w:bidi="ar-SA"/>
          </w:rPr>
          <w:t>законодательством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для случаев продажи доли в праве общей собственности постороннему лицу.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отчуждение здания, сооружения, находящихся на земельном участке, изъятом из оборота в соответствии со </w:t>
      </w:r>
      <w:hyperlink r:id="rId4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val="ru-RU" w:eastAsia="en-US" w:bidi="ar-SA"/>
          </w:rPr>
          <w:t>статьей 27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Земельного кодекса РФ;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отчуждение сооружения, которое расположено на земельном участке на условиях сервитута.</w:t>
      </w:r>
    </w:p>
    <w:p>
      <w:pPr>
        <w:pStyle w:val="BodyTextIndent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ing1"/>
        <w:widowControl w:val="false"/>
        <w:bidi w:val="0"/>
        <w:ind w:firstLine="709" w:start="0" w:end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Платность использования земли</w:t>
      </w:r>
    </w:p>
    <w:p>
      <w:pPr>
        <w:pStyle w:val="Normal"/>
        <w:widowControl w:val="false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исчисления и уплаты земельного налога устанавливается </w:t>
      </w:r>
      <w:hyperlink r:id="rId5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lang w:val="ru-RU" w:eastAsia="en-US" w:bidi="ar-SA"/>
          </w:rPr>
          <w:t>законодательством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о налогах и сборах.</w:t>
      </w:r>
    </w:p>
    <w:p>
      <w:pPr>
        <w:pStyle w:val="Normal"/>
        <w:bidi w:val="0"/>
        <w:spacing w:before="0" w:after="0"/>
        <w:ind w:hanging="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п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остановлением Правительства  Удмуртской Республики от 06 ноября 2007 года № 172 «О порядке определения размера арендной платы за земельные участки, находящиеся в собственности Удмуртской Республики, и земельные участки, государственная собственность на которые не разграничена, предоставленные в аренду без торгов», </w:t>
      </w:r>
      <w:r>
        <w:rPr>
          <w:rFonts w:cs="Times New Roman" w:ascii="Times New Roman" w:hAnsi="Times New Roman"/>
          <w:sz w:val="28"/>
          <w:szCs w:val="28"/>
        </w:rPr>
        <w:t>нормативными правовыми актами муниципального образования Сюмсинский район, договорами аренды земельных участков.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color w:val="4D5150"/>
          <w:sz w:val="28"/>
          <w:szCs w:val="28"/>
        </w:rPr>
      </w:pPr>
      <w:r>
        <w:rPr>
          <w:rFonts w:cs="Times New Roman" w:ascii="Times New Roman" w:hAnsi="Times New Roman"/>
          <w:color w:val="4D515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bidi w:val="0"/>
        <w:ind w:firstLine="709" w:start="0" w:end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</w:rPr>
        <w:t>Изменение видов разрешенного использования земельных участков и объектов капитального строительства</w:t>
      </w:r>
    </w:p>
    <w:p>
      <w:pPr>
        <w:pStyle w:val="ConsPlusNormal"/>
        <w:numPr>
          <w:ilvl w:val="0"/>
          <w:numId w:val="0"/>
        </w:numPr>
        <w:bidi w:val="0"/>
        <w:ind w:firstLine="709" w:start="0" w:end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действующим градостроительным и земельным законодательством утверждены Правила землепользования и застройки муниципальных образований поселений,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>
      <w:pPr>
        <w:pStyle w:val="ConsPlusNormal"/>
        <w:bidi w:val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>
      <w:pPr>
        <w:pStyle w:val="ConsPlusNormal"/>
        <w:bidi w:val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основные виды разрешенного использования;</w:t>
      </w:r>
    </w:p>
    <w:p>
      <w:pPr>
        <w:pStyle w:val="ConsPlusNormal"/>
        <w:bidi w:val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условно разрешенные виды использования;</w:t>
      </w:r>
    </w:p>
    <w:p>
      <w:pPr>
        <w:pStyle w:val="ConsPlusNormal"/>
        <w:bidi w:val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>
      <w:pPr>
        <w:pStyle w:val="ConsPlusNormal"/>
        <w:bidi w:val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>
      <w:pPr>
        <w:pStyle w:val="ConsPlusNormal"/>
        <w:bidi w:val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>
      <w:pPr>
        <w:pStyle w:val="ConsPlusNormal"/>
        <w:bidi w:val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 </w:t>
      </w:r>
    </w:p>
    <w:p>
      <w:pPr>
        <w:pStyle w:val="ConsPlusNormal"/>
        <w:bidi w:val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орган регистрации прав.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firstLine="709" w:start="0" w:end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firstLine="709" w:start="0" w:end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Ответственность за правонарушения в области охраны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firstLine="709" w:start="0" w:end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 использования земель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firstLine="709" w:start="0" w:end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firstLine="709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Главой </w:t>
      </w:r>
      <w:r>
        <w:rPr>
          <w:rFonts w:cs="Times New Roman" w:ascii="Times New Roman" w:hAnsi="Times New Roman"/>
          <w:sz w:val="28"/>
          <w:szCs w:val="28"/>
          <w:lang w:val="en-US"/>
        </w:rPr>
        <w:t>XIII</w:t>
      </w:r>
      <w:r>
        <w:rPr>
          <w:rFonts w:cs="Times New Roman" w:ascii="Times New Roman" w:hAnsi="Times New Roman"/>
          <w:sz w:val="28"/>
          <w:szCs w:val="28"/>
        </w:rPr>
        <w:t xml:space="preserve"> Земельного кодекса РФ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6"/>
      <w:bookmarkEnd w:id="0"/>
      <w:r>
        <w:rPr>
          <w:rFonts w:cs="Times New Roman" w:ascii="Times New Roman" w:hAnsi="Times New Roman"/>
          <w:sz w:val="28"/>
          <w:szCs w:val="28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Конституцией Российской Федерации; 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Кодексом Российской Федерации об административных правонарушениях; 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Земельным кодексом Российской Федерации; 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>
      <w:pPr>
        <w:pStyle w:val="Normal"/>
        <w:widowControl w:val="false"/>
        <w:bidi w:val="0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иными нормативными правовыми актами.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Кодексом Российской Федерации об административных правонарушениях предусмотрена административная ответственность по следующим статьям: 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Статья 7.1.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 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Статья 8.8. 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статьи; 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Неиспользование земельного участка из земель сельскохозяйственного назначения, оборот которого регулируется Федеральным законом от 24 июля 2002 года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статьи; 2.1. Неиспользование земельного участка из земель сельскохозяйственного назначения, оборот которого регулируется Федеральным законом от 24 июля 2002 года № 101-ФЗ «Об обороте земель сельскохозяйственного назначения»,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№ 101-ФЗ «Об обороте земель сельскохозяйственного назначения»; 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 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назначению. 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Действия должностных лиц, уполномоченных на осуществление муниципального земельного контроля, по пресечению нарушений обязательных требований и (или) устранению таких нарушений </w:t>
      </w:r>
    </w:p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 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Специалистом, осуществляющим муниципальный земельный контроль, проводится следующая работа по пресечению нарушений обязательных требований и (или) устранению таких нарушений: 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земельного законодательства;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ежегодное о обобщение практики осуществления муниципального земельного контроля; 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размещение информации </w:t>
      </w:r>
      <w:r>
        <w:rPr>
          <w:rFonts w:cs="Times New Roman" w:ascii="Times New Roman" w:hAnsi="Times New Roman"/>
          <w:color w:val="000000"/>
          <w:spacing w:val="4"/>
          <w:sz w:val="28"/>
          <w:szCs w:val="28"/>
        </w:rPr>
        <w:t>на официальном сайте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cs="Times New Roman"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«Сюмсинский район»</w:t>
      </w:r>
      <w:r>
        <w:rPr>
          <w:rFonts w:cs="Times New Roman"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pacing w:val="4"/>
          <w:sz w:val="28"/>
          <w:szCs w:val="28"/>
          <w:u w:val="single"/>
        </w:rPr>
        <w:t>www.sumsi-adm.ru</w:t>
      </w:r>
      <w:r>
        <w:rPr>
          <w:rFonts w:cs="Times New Roman" w:ascii="Times New Roman" w:hAnsi="Times New Roman"/>
          <w:sz w:val="28"/>
          <w:szCs w:val="28"/>
        </w:rPr>
        <w:t xml:space="preserve"> (далее - официальный сайт). 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 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 на официальном сайте.</w:t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BodyText"/>
        <w:bidi w:val="0"/>
        <w:spacing w:before="0" w:after="0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0" w:start="0" w:end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spacing w:before="0" w:after="0"/>
        <w:ind w:hanging="0" w:start="0" w:end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swiss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Symbol" w:cs="Calibri"/>
      <w:color w:val="auto"/>
      <w:kern w:val="2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240" w:before="0" w:after="0"/>
      <w:jc w:val="center"/>
      <w:outlineLvl w:val="0"/>
    </w:pPr>
    <w:rPr>
      <w:rFonts w:cs="Times New Roman"/>
      <w:b/>
      <w:bCs/>
      <w:sz w:val="26"/>
      <w:szCs w:val="26"/>
      <w:lang w:eastAsia="ru-RU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styleId="2">
    <w:name w:val="Заголовок 2 Знак"/>
    <w:basedOn w:val="DefaultParagraphFont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>
    <w:name w:val="Заголовок 3 Знак"/>
    <w:basedOn w:val="DefaultParagraphFont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4">
    <w:name w:val="Заголовок 4 Знак"/>
    <w:basedOn w:val="DefaultParagraphFont"/>
    <w:qFormat/>
    <w:rPr>
      <w:rFonts w:eastAsia="Times New Roman" w:cs="Times New Roman"/>
      <w:b/>
      <w:bCs/>
      <w:sz w:val="28"/>
      <w:szCs w:val="28"/>
    </w:rPr>
  </w:style>
  <w:style w:type="character" w:styleId="Style10">
    <w:name w:val="Основной текст Знак"/>
    <w:basedOn w:val="DefaultParagraphFont"/>
    <w:qFormat/>
    <w:rPr>
      <w:sz w:val="24"/>
      <w:szCs w:val="24"/>
    </w:rPr>
  </w:style>
  <w:style w:type="character" w:styleId="Style1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>
    <w:name w:val="Основной текст с отступом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3">
    <w:name w:val="Верхний колонтитул Знак"/>
    <w:basedOn w:val="DefaultParagraphFont"/>
    <w:qFormat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Pr>
      <w:rFonts w:ascii="Times New Roman" w:hAnsi="Times New Roman" w:cs="Times New Roman"/>
      <w:color w:val="0000FF"/>
      <w:sz w:val="24"/>
      <w:szCs w:val="24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Symbol" w:cs="Calibri"/>
      <w:color w:val="auto"/>
      <w:kern w:val="2"/>
      <w:sz w:val="22"/>
      <w:szCs w:val="22"/>
      <w:lang w:val="ru-RU" w:eastAsia="ru-RU" w:bidi="ar-SA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rFonts w:cs="Times New Roman"/>
      <w:sz w:val="20"/>
      <w:szCs w:val="20"/>
      <w:lang w:eastAsia="ru-RU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bidi w:val="0"/>
      <w:jc w:val="start"/>
      <w:textAlignment w:val="auto"/>
    </w:pPr>
    <w:rPr>
      <w:rFonts w:ascii="Arial" w:hAnsi="Arial" w:eastAsia="Symbol" w:cs="Arial"/>
      <w:color w:val="auto"/>
      <w:kern w:val="2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pPr>
      <w:spacing w:lineRule="auto" w:line="240" w:before="0" w:after="120"/>
      <w:ind w:start="283"/>
    </w:pPr>
    <w:rPr>
      <w:rFonts w:cs="Times New Roman"/>
      <w:sz w:val="24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bidi w:val="0"/>
      <w:jc w:val="start"/>
      <w:textAlignment w:val="auto"/>
    </w:pPr>
    <w:rPr>
      <w:rFonts w:ascii="Calibri" w:hAnsi="Calibri" w:eastAsia="Symbol" w:cs="Times New Roman"/>
      <w:color w:val="auto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635D6DC3E9360BFCF4F652440A9CA961460F7FA07A49AFA76C6B4D8C7B4CDF8F878559CD594B06F75m5I" TargetMode="External"/><Relationship Id="rId4" Type="http://schemas.openxmlformats.org/officeDocument/2006/relationships/hyperlink" Target="consultantplus://offline/ref=9635D6DC3E9360BFCF4F652440A9CA961461F5FC07A29AFA76C6B4D8C7B4CDF8F878559CD595B16C75m4I" TargetMode="External"/><Relationship Id="rId5" Type="http://schemas.openxmlformats.org/officeDocument/2006/relationships/hyperlink" Target="consultantplus://offline/ref=8DC97F5ACA906F740E9F9806C40FE32D976E387FF88BD5A64715BE4A6B7159DB217E1B44211Ai5CBH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6</Pages>
  <Words>1858</Words>
  <Characters>14253</Characters>
  <CharactersWithSpaces>16302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2019-10-16T15:26:00Z</dcterms:created>
  <dc:creator>tv</dc:creator>
  <dc:description/>
  <dc:language>ru-RU</dc:language>
  <cp:lastModifiedBy/>
  <cp:lastPrinted>2019-10-16T15:35:00Z</cp:lastPrinted>
  <dcterms:modified xsi:type="dcterms:W3CDTF">2019-10-25T10:15:00Z</dcterms:modified>
  <cp:revision>12</cp:revision>
  <dc:subject/>
  <dc:title>Администрация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tv</vt:lpwstr>
  </property>
</Properties>
</file>