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3B159A" w:rsidRPr="003F21F5" w:rsidTr="008D005B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bookmarkStart w:id="0" w:name="_GoBack" w:colFirst="0" w:colLast="0"/>
            <w:r w:rsidRPr="00A52BC9">
              <w:rPr>
                <w:rFonts w:cs="Times New Roman"/>
                <w:spacing w:val="50"/>
              </w:rPr>
              <w:t xml:space="preserve">Администрация </w:t>
            </w:r>
            <w:r w:rsidRPr="00A52BC9">
              <w:rPr>
                <w:rFonts w:cs="Times New Roman"/>
                <w:spacing w:val="50"/>
              </w:rPr>
              <w:br/>
              <w:t>муниципального образования «</w:t>
            </w:r>
            <w:r>
              <w:rPr>
                <w:rFonts w:cs="Times New Roman"/>
                <w:spacing w:val="50"/>
              </w:rPr>
              <w:t>Муниципальный округ</w:t>
            </w:r>
          </w:p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>Сюмсинский район</w:t>
            </w:r>
          </w:p>
          <w:p w:rsidR="003B159A" w:rsidRPr="003F21F5" w:rsidRDefault="003B159A" w:rsidP="008D005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3B159A" w:rsidRPr="003F21F5" w:rsidRDefault="003B159A" w:rsidP="008D005B">
            <w:pPr>
              <w:pStyle w:val="a8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3F21F5" w:rsidRDefault="003B159A" w:rsidP="008D005B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noProof/>
                <w:spacing w:val="20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3B159A" w:rsidRPr="003F21F5" w:rsidRDefault="003B159A" w:rsidP="00B07C02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bookmarkEnd w:id="0"/>
    <w:p w:rsidR="003B159A" w:rsidRPr="003B159A" w:rsidRDefault="003B159A" w:rsidP="003B159A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3B159A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B159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3B159A" w:rsidRPr="004C66E0" w:rsidRDefault="004C66E0" w:rsidP="003B159A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C66E0">
        <w:rPr>
          <w:rFonts w:eastAsia="Times New Roman" w:cs="Times New Roman"/>
          <w:sz w:val="28"/>
          <w:szCs w:val="28"/>
          <w:lang w:eastAsia="ru-RU"/>
        </w:rPr>
        <w:t>о</w:t>
      </w:r>
      <w:r w:rsidR="000F5AEF" w:rsidRPr="004C66E0">
        <w:rPr>
          <w:rFonts w:eastAsia="Times New Roman" w:cs="Times New Roman"/>
          <w:sz w:val="28"/>
          <w:szCs w:val="28"/>
          <w:lang w:eastAsia="ru-RU"/>
        </w:rPr>
        <w:t>т</w:t>
      </w:r>
      <w:r w:rsidRPr="004C66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5AEF" w:rsidRPr="004C66E0">
        <w:rPr>
          <w:rFonts w:eastAsia="Times New Roman" w:cs="Times New Roman"/>
          <w:sz w:val="28"/>
          <w:szCs w:val="28"/>
          <w:lang w:eastAsia="ru-RU"/>
        </w:rPr>
        <w:t xml:space="preserve">21 </w:t>
      </w:r>
      <w:r w:rsidR="00F37B1D" w:rsidRPr="004C66E0">
        <w:rPr>
          <w:rFonts w:eastAsia="Times New Roman" w:cs="Times New Roman"/>
          <w:sz w:val="28"/>
          <w:szCs w:val="28"/>
          <w:lang w:eastAsia="ru-RU"/>
        </w:rPr>
        <w:t>октября</w:t>
      </w:r>
      <w:r w:rsidR="003B159A" w:rsidRPr="004C66E0">
        <w:rPr>
          <w:rFonts w:eastAsia="Times New Roman" w:cs="Times New Roman"/>
          <w:sz w:val="28"/>
          <w:szCs w:val="28"/>
          <w:lang w:eastAsia="ru-RU"/>
        </w:rPr>
        <w:t xml:space="preserve"> 2022 года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3B159A" w:rsidRPr="004C66E0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4C66E0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B159A" w:rsidRPr="004C66E0">
        <w:rPr>
          <w:rFonts w:eastAsia="Times New Roman" w:cs="Times New Roman"/>
          <w:sz w:val="28"/>
          <w:szCs w:val="28"/>
          <w:lang w:eastAsia="ru-RU"/>
        </w:rPr>
        <w:t xml:space="preserve">№  </w:t>
      </w:r>
      <w:r w:rsidR="000F5AEF" w:rsidRPr="004C66E0">
        <w:rPr>
          <w:rFonts w:eastAsia="Times New Roman" w:cs="Times New Roman"/>
          <w:sz w:val="28"/>
          <w:szCs w:val="28"/>
          <w:lang w:eastAsia="ru-RU"/>
        </w:rPr>
        <w:t>695</w:t>
      </w:r>
    </w:p>
    <w:p w:rsidR="003B159A" w:rsidRPr="00F37B1D" w:rsidRDefault="003B159A" w:rsidP="003B159A">
      <w:pPr>
        <w:spacing w:after="200" w:line="276" w:lineRule="auto"/>
        <w:jc w:val="center"/>
        <w:rPr>
          <w:rFonts w:eastAsia="Calibri" w:cs="Times New Roman"/>
          <w:bCs w:val="0"/>
          <w:sz w:val="26"/>
          <w:szCs w:val="26"/>
          <w:lang w:eastAsia="en-US"/>
        </w:rPr>
      </w:pPr>
      <w:r w:rsidRPr="00F37B1D">
        <w:rPr>
          <w:rFonts w:eastAsia="Calibri" w:cs="Times New Roman"/>
          <w:bCs w:val="0"/>
          <w:sz w:val="26"/>
          <w:szCs w:val="26"/>
          <w:lang w:eastAsia="en-US"/>
        </w:rPr>
        <w:t>с. Сюмси</w:t>
      </w:r>
    </w:p>
    <w:p w:rsidR="000F5AEF" w:rsidRPr="000F5AEF" w:rsidRDefault="000F5AEF" w:rsidP="000F5A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37B1D" w:rsidRPr="000F5AEF">
        <w:rPr>
          <w:rFonts w:ascii="Times New Roman" w:hAnsi="Times New Roman" w:cs="Times New Roman"/>
          <w:sz w:val="28"/>
          <w:szCs w:val="28"/>
        </w:rPr>
        <w:t xml:space="preserve"> в </w:t>
      </w:r>
      <w:r w:rsidRPr="000F5AE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F5AEF" w:rsidRPr="000F5AEF" w:rsidRDefault="000F5AEF" w:rsidP="000F5A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</w:t>
      </w:r>
      <w:proofErr w:type="spellStart"/>
      <w:r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Pr="000F5AEF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предоставляемых без проведения торгов</w:t>
      </w:r>
    </w:p>
    <w:p w:rsidR="003B159A" w:rsidRPr="000F5AEF" w:rsidRDefault="003B159A" w:rsidP="000F5AEF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Pr="000F5AEF" w:rsidRDefault="00496F13" w:rsidP="003B15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color w:val="000000"/>
          <w:spacing w:val="20"/>
          <w:sz w:val="28"/>
          <w:szCs w:val="28"/>
          <w:lang w:eastAsia="ru-RU"/>
        </w:rPr>
      </w:pPr>
      <w:r w:rsidRPr="000F5AEF">
        <w:rPr>
          <w:rFonts w:cs="Times New Roman"/>
          <w:sz w:val="28"/>
          <w:szCs w:val="28"/>
        </w:rPr>
        <w:t xml:space="preserve">В соответствии со </w:t>
      </w:r>
      <w:hyperlink r:id="rId6" w:history="1">
        <w:r w:rsidRPr="000F5AEF">
          <w:rPr>
            <w:rStyle w:val="ac"/>
            <w:rFonts w:cs="Times New Roman"/>
            <w:color w:val="auto"/>
            <w:sz w:val="28"/>
            <w:szCs w:val="28"/>
            <w:u w:val="none"/>
          </w:rPr>
          <w:t>статьей 39.28</w:t>
        </w:r>
      </w:hyperlink>
      <w:r w:rsidRPr="000F5AEF">
        <w:rPr>
          <w:rFonts w:cs="Times New Roman"/>
          <w:sz w:val="28"/>
          <w:szCs w:val="28"/>
        </w:rPr>
        <w:t xml:space="preserve"> Земельного кодекса Российской Федерации, </w:t>
      </w:r>
      <w:r w:rsidR="003B159A" w:rsidRPr="000F5AEF">
        <w:rPr>
          <w:rFonts w:cs="Times New Roman"/>
          <w:sz w:val="28"/>
          <w:szCs w:val="28"/>
        </w:rPr>
        <w:t>руководствуясь</w:t>
      </w:r>
      <w:r w:rsidR="003B159A" w:rsidRPr="000F5AEF">
        <w:rPr>
          <w:rFonts w:cs="Times New Roman"/>
          <w:bCs w:val="0"/>
          <w:sz w:val="28"/>
          <w:szCs w:val="28"/>
        </w:rPr>
        <w:t xml:space="preserve"> Уставом </w:t>
      </w:r>
      <w:r w:rsidR="003B159A" w:rsidRPr="000F5AEF">
        <w:rPr>
          <w:rFonts w:eastAsia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3B159A" w:rsidRPr="000F5AEF"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 w:rsidR="003B159A" w:rsidRPr="000F5AEF">
        <w:rPr>
          <w:rFonts w:cs="Times New Roman"/>
          <w:bCs w:val="0"/>
          <w:sz w:val="28"/>
          <w:szCs w:val="28"/>
        </w:rPr>
        <w:t xml:space="preserve"> </w:t>
      </w:r>
      <w:r w:rsidR="003B159A" w:rsidRPr="000F5AEF">
        <w:rPr>
          <w:rFonts w:cs="Times New Roman"/>
          <w:sz w:val="28"/>
          <w:szCs w:val="28"/>
        </w:rPr>
        <w:t xml:space="preserve"> </w:t>
      </w:r>
      <w:r w:rsidR="003B159A" w:rsidRPr="000F5AE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B159A" w:rsidRPr="000F5AEF">
        <w:rPr>
          <w:rFonts w:eastAsia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B159A" w:rsidRPr="000F5AEF" w:rsidRDefault="000F5AEF" w:rsidP="000F5A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59A" w:rsidRPr="000F5AEF">
        <w:rPr>
          <w:rFonts w:ascii="Times New Roman" w:hAnsi="Times New Roman" w:cs="Times New Roman"/>
          <w:sz w:val="28"/>
          <w:szCs w:val="28"/>
        </w:rPr>
        <w:t xml:space="preserve">1. </w:t>
      </w:r>
      <w:r w:rsidR="00F37B1D" w:rsidRPr="000F5AEF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5AE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F5AEF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</w:t>
      </w:r>
      <w:proofErr w:type="spellStart"/>
      <w:r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Pr="000F5AEF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предоставляемых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1D" w:rsidRPr="000F5A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7B1D" w:rsidRPr="000F5AEF">
        <w:rPr>
          <w:rFonts w:ascii="Times New Roman" w:hAnsi="Times New Roman" w:cs="Times New Roman"/>
          <w:sz w:val="28"/>
          <w:szCs w:val="28"/>
        </w:rPr>
        <w:t xml:space="preserve"> </w:t>
      </w:r>
      <w:r w:rsidR="00F37B1D" w:rsidRPr="000F5AEF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F37B1D"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="00F37B1D" w:rsidRPr="000F5AEF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 от 11 мая 2022 года № 271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</w:t>
      </w:r>
      <w:proofErr w:type="spellStart"/>
      <w:r w:rsidR="00F37B1D"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="00F37B1D" w:rsidRPr="000F5AEF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авляемых без проведения торгов», </w:t>
      </w:r>
      <w:r w:rsidR="00F37B1D" w:rsidRPr="000F5AEF">
        <w:rPr>
          <w:rFonts w:ascii="Times New Roman" w:hAnsi="Times New Roman" w:cs="Times New Roman"/>
          <w:bCs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изложив в новой редакции согласно Приложению. </w:t>
      </w:r>
    </w:p>
    <w:p w:rsidR="003B159A" w:rsidRPr="000F5AEF" w:rsidRDefault="003B159A" w:rsidP="003B1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AEF">
        <w:rPr>
          <w:rFonts w:ascii="Times New Roman" w:hAnsi="Times New Roman" w:cs="Times New Roman"/>
          <w:sz w:val="28"/>
          <w:szCs w:val="28"/>
        </w:rPr>
        <w:t xml:space="preserve">2. </w:t>
      </w:r>
      <w:r w:rsidRPr="000F5AEF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B159A" w:rsidRPr="000F5AEF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0F5AEF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B1D" w:rsidRPr="000F5AEF" w:rsidRDefault="00F37B1D" w:rsidP="00F37B1D">
      <w:pPr>
        <w:spacing w:line="240" w:lineRule="auto"/>
        <w:rPr>
          <w:rFonts w:eastAsia="Calibri" w:cs="Times New Roman"/>
          <w:bCs w:val="0"/>
          <w:sz w:val="28"/>
          <w:szCs w:val="28"/>
          <w:lang w:eastAsia="ru-RU"/>
        </w:rPr>
      </w:pPr>
      <w:r w:rsidRPr="000F5AEF">
        <w:rPr>
          <w:rFonts w:eastAsia="Calibri" w:cs="Times New Roman"/>
          <w:bCs w:val="0"/>
          <w:sz w:val="28"/>
          <w:szCs w:val="28"/>
          <w:lang w:eastAsia="ru-RU"/>
        </w:rPr>
        <w:t>Первый заместитель главы</w:t>
      </w:r>
    </w:p>
    <w:p w:rsidR="00F37B1D" w:rsidRPr="000F5AEF" w:rsidRDefault="00F37B1D" w:rsidP="00F37B1D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Calibri" w:cs="Times New Roman"/>
          <w:bCs w:val="0"/>
          <w:sz w:val="28"/>
          <w:szCs w:val="28"/>
          <w:lang w:eastAsia="ru-RU"/>
        </w:rPr>
        <w:t xml:space="preserve">Администрации </w:t>
      </w:r>
      <w:proofErr w:type="spellStart"/>
      <w:r w:rsidRPr="000F5AEF">
        <w:rPr>
          <w:rFonts w:eastAsia="Calibri" w:cs="Times New Roman"/>
          <w:bCs w:val="0"/>
          <w:sz w:val="28"/>
          <w:szCs w:val="28"/>
          <w:lang w:eastAsia="ru-RU"/>
        </w:rPr>
        <w:t>Сюмсинского</w:t>
      </w:r>
      <w:proofErr w:type="spellEnd"/>
      <w:r w:rsidRPr="000F5AEF">
        <w:rPr>
          <w:rFonts w:eastAsia="Calibri" w:cs="Times New Roman"/>
          <w:bCs w:val="0"/>
          <w:sz w:val="28"/>
          <w:szCs w:val="28"/>
          <w:lang w:eastAsia="ru-RU"/>
        </w:rPr>
        <w:t xml:space="preserve"> района                                   </w:t>
      </w:r>
      <w:r w:rsidR="000F5AEF">
        <w:rPr>
          <w:rFonts w:eastAsia="Calibri" w:cs="Times New Roman"/>
          <w:bCs w:val="0"/>
          <w:sz w:val="28"/>
          <w:szCs w:val="28"/>
          <w:lang w:eastAsia="ru-RU"/>
        </w:rPr>
        <w:t xml:space="preserve">     </w:t>
      </w:r>
      <w:r w:rsidRPr="000F5AEF">
        <w:rPr>
          <w:rFonts w:eastAsia="Calibri" w:cs="Times New Roman"/>
          <w:bCs w:val="0"/>
          <w:sz w:val="28"/>
          <w:szCs w:val="28"/>
          <w:lang w:eastAsia="ru-RU"/>
        </w:rPr>
        <w:t xml:space="preserve">  </w:t>
      </w:r>
      <w:proofErr w:type="spellStart"/>
      <w:r w:rsidRPr="000F5AEF">
        <w:rPr>
          <w:rFonts w:eastAsia="Calibri" w:cs="Times New Roman"/>
          <w:bCs w:val="0"/>
          <w:sz w:val="28"/>
          <w:szCs w:val="28"/>
          <w:lang w:eastAsia="ru-RU"/>
        </w:rPr>
        <w:t>А.А.Альматов</w:t>
      </w:r>
      <w:proofErr w:type="spellEnd"/>
    </w:p>
    <w:p w:rsidR="003B159A" w:rsidRPr="000F5AEF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B1D" w:rsidRPr="000F5AEF" w:rsidRDefault="00F37B1D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7B1D" w:rsidRPr="000F5AEF" w:rsidRDefault="00F37B1D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37B1D" w:rsidRPr="000F5AEF" w:rsidRDefault="00F37B1D" w:rsidP="00F37B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7B1D" w:rsidRPr="000F5AEF" w:rsidRDefault="00F37B1D" w:rsidP="00F37B1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F37B1D" w:rsidRPr="000F5AEF" w:rsidRDefault="00F37B1D" w:rsidP="00F37B1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«Муниципальный округ </w:t>
      </w:r>
      <w:proofErr w:type="spellStart"/>
      <w:r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</w:p>
    <w:p w:rsidR="00F37B1D" w:rsidRPr="000F5AEF" w:rsidRDefault="00F37B1D" w:rsidP="00F37B1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 район  Удмуртской Республики»</w:t>
      </w:r>
    </w:p>
    <w:p w:rsidR="00F37B1D" w:rsidRPr="000F5AEF" w:rsidRDefault="004C66E0" w:rsidP="00F37B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</w:t>
      </w:r>
      <w:r w:rsidR="00F37B1D" w:rsidRPr="000F5AEF">
        <w:rPr>
          <w:rFonts w:ascii="Times New Roman" w:hAnsi="Times New Roman" w:cs="Times New Roman"/>
          <w:sz w:val="28"/>
          <w:szCs w:val="28"/>
        </w:rPr>
        <w:t>октября 2022 года  №</w:t>
      </w:r>
      <w:r>
        <w:rPr>
          <w:rFonts w:ascii="Times New Roman" w:hAnsi="Times New Roman" w:cs="Times New Roman"/>
          <w:sz w:val="28"/>
          <w:szCs w:val="28"/>
        </w:rPr>
        <w:t xml:space="preserve"> 695</w:t>
      </w:r>
      <w:r w:rsidR="00F37B1D" w:rsidRPr="000F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1D" w:rsidRPr="000F5AEF" w:rsidRDefault="00F37B1D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159A" w:rsidRPr="000F5AEF" w:rsidRDefault="00F37B1D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>«</w:t>
      </w:r>
      <w:r w:rsidR="00B07C02" w:rsidRPr="000F5AEF">
        <w:rPr>
          <w:rFonts w:ascii="Times New Roman" w:hAnsi="Times New Roman" w:cs="Times New Roman"/>
          <w:sz w:val="28"/>
          <w:szCs w:val="28"/>
        </w:rPr>
        <w:t>УТВЕРЖДЁН</w:t>
      </w:r>
    </w:p>
    <w:p w:rsidR="003B159A" w:rsidRPr="000F5AEF" w:rsidRDefault="00B07C02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>п</w:t>
      </w:r>
      <w:r w:rsidR="003B159A" w:rsidRPr="000F5AE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3B159A" w:rsidRPr="000F5AEF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B07C02" w:rsidRPr="000F5AEF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</w:t>
      </w:r>
    </w:p>
    <w:p w:rsidR="003B159A" w:rsidRPr="000F5AEF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C02" w:rsidRPr="000F5AEF">
        <w:rPr>
          <w:rFonts w:ascii="Times New Roman" w:hAnsi="Times New Roman" w:cs="Times New Roman"/>
          <w:bCs/>
          <w:sz w:val="28"/>
          <w:szCs w:val="28"/>
        </w:rPr>
        <w:t>р</w:t>
      </w:r>
      <w:r w:rsidRPr="000F5AEF">
        <w:rPr>
          <w:rFonts w:ascii="Times New Roman" w:hAnsi="Times New Roman" w:cs="Times New Roman"/>
          <w:bCs/>
          <w:sz w:val="28"/>
          <w:szCs w:val="28"/>
        </w:rPr>
        <w:t>айон</w:t>
      </w:r>
      <w:r w:rsidR="00B07C02" w:rsidRPr="000F5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AEF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</w:t>
      </w:r>
    </w:p>
    <w:p w:rsidR="003B159A" w:rsidRPr="000F5AEF" w:rsidRDefault="003B159A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AEF">
        <w:rPr>
          <w:rFonts w:ascii="Times New Roman" w:hAnsi="Times New Roman" w:cs="Times New Roman"/>
          <w:sz w:val="28"/>
          <w:szCs w:val="28"/>
        </w:rPr>
        <w:t xml:space="preserve">от </w:t>
      </w:r>
      <w:r w:rsidR="00A840A5" w:rsidRPr="000F5AEF">
        <w:rPr>
          <w:rFonts w:ascii="Times New Roman" w:hAnsi="Times New Roman" w:cs="Times New Roman"/>
          <w:sz w:val="28"/>
          <w:szCs w:val="28"/>
        </w:rPr>
        <w:t>11</w:t>
      </w:r>
      <w:r w:rsidRPr="000F5AEF">
        <w:rPr>
          <w:rFonts w:ascii="Times New Roman" w:hAnsi="Times New Roman" w:cs="Times New Roman"/>
          <w:sz w:val="28"/>
          <w:szCs w:val="28"/>
        </w:rPr>
        <w:t xml:space="preserve"> мая 2022 г</w:t>
      </w:r>
      <w:r w:rsidR="00B07C02" w:rsidRPr="000F5AEF">
        <w:rPr>
          <w:rFonts w:ascii="Times New Roman" w:hAnsi="Times New Roman" w:cs="Times New Roman"/>
          <w:sz w:val="28"/>
          <w:szCs w:val="28"/>
        </w:rPr>
        <w:t xml:space="preserve">ода </w:t>
      </w:r>
      <w:r w:rsidRPr="000F5AEF">
        <w:rPr>
          <w:rFonts w:ascii="Times New Roman" w:hAnsi="Times New Roman" w:cs="Times New Roman"/>
          <w:sz w:val="28"/>
          <w:szCs w:val="28"/>
        </w:rPr>
        <w:t xml:space="preserve"> № </w:t>
      </w:r>
      <w:r w:rsidR="00A840A5" w:rsidRPr="000F5AEF">
        <w:rPr>
          <w:rFonts w:ascii="Times New Roman" w:hAnsi="Times New Roman" w:cs="Times New Roman"/>
          <w:sz w:val="28"/>
          <w:szCs w:val="28"/>
        </w:rPr>
        <w:t>271</w:t>
      </w:r>
      <w:r w:rsidR="00F37B1D" w:rsidRPr="000F5AEF">
        <w:rPr>
          <w:rFonts w:ascii="Times New Roman" w:hAnsi="Times New Roman" w:cs="Times New Roman"/>
          <w:sz w:val="28"/>
          <w:szCs w:val="28"/>
        </w:rPr>
        <w:t>»</w:t>
      </w:r>
    </w:p>
    <w:p w:rsidR="003B159A" w:rsidRPr="000F5AEF" w:rsidRDefault="003B159A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9A" w:rsidRPr="000F5AEF" w:rsidRDefault="003B159A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0"/>
      <w:bookmarkEnd w:id="1"/>
      <w:r w:rsidRPr="000F5AE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B159A" w:rsidRPr="000F5AEF" w:rsidRDefault="00496F13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AEF">
        <w:rPr>
          <w:rFonts w:ascii="Times New Roman" w:hAnsi="Times New Roman" w:cs="Times New Roman"/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Сюмсинский район Удмуртской Республики», предоставляемых без проведения торгов</w:t>
      </w:r>
    </w:p>
    <w:p w:rsidR="00496F13" w:rsidRPr="000F5AEF" w:rsidRDefault="00496F13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6F13" w:rsidRPr="000F5AEF" w:rsidRDefault="00496F13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DBD" w:rsidRPr="000F5AEF" w:rsidRDefault="003B159A" w:rsidP="00BB1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0F5AEF">
        <w:rPr>
          <w:rFonts w:ascii="Times New Roman" w:hAnsi="Times New Roman" w:cs="Times New Roman"/>
          <w:sz w:val="28"/>
          <w:szCs w:val="28"/>
        </w:rPr>
        <w:tab/>
      </w:r>
      <w:r w:rsidR="00BB1DBD" w:rsidRPr="000F5AEF">
        <w:rPr>
          <w:rFonts w:ascii="Times New Roman" w:hAnsi="Times New Roman" w:cs="Times New Roman"/>
          <w:bCs/>
          <w:sz w:val="28"/>
          <w:szCs w:val="28"/>
        </w:rPr>
        <w:t xml:space="preserve">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</w:t>
      </w:r>
      <w:proofErr w:type="spellStart"/>
      <w:r w:rsidR="00BB1DBD" w:rsidRPr="000F5AEF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="00BB1DBD" w:rsidRPr="000F5AEF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</w:t>
      </w:r>
      <w:r w:rsidR="00BB1DBD" w:rsidRPr="000F5AEF">
        <w:rPr>
          <w:rFonts w:ascii="Times New Roman" w:hAnsi="Times New Roman" w:cs="Times New Roman"/>
          <w:sz w:val="28"/>
          <w:szCs w:val="28"/>
        </w:rPr>
        <w:t>, определяется в следующем порядке: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bookmarkStart w:id="3" w:name="P45"/>
      <w:bookmarkEnd w:id="3"/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1. В случае если в результате перераспределения вид разрешенного использования земельного участка, образованного в результате перераспределения земельного участка, находящегося в частной собственности, с земельными участками, находящимися </w:t>
      </w:r>
      <w:r w:rsidRPr="000F5AEF">
        <w:rPr>
          <w:rFonts w:eastAsia="Times New Roman" w:cs="Times New Roman"/>
          <w:sz w:val="28"/>
          <w:szCs w:val="28"/>
          <w:lang w:eastAsia="ru-RU"/>
        </w:rPr>
        <w:t xml:space="preserve">в собственности муниципального образования «Муниципальный округ </w:t>
      </w:r>
      <w:proofErr w:type="spellStart"/>
      <w:r w:rsidRPr="000F5AEF">
        <w:rPr>
          <w:rFonts w:eastAsia="Times New Roman" w:cs="Times New Roman"/>
          <w:sz w:val="28"/>
          <w:szCs w:val="28"/>
          <w:lang w:eastAsia="ru-RU"/>
        </w:rPr>
        <w:t>Сюмсинский</w:t>
      </w:r>
      <w:proofErr w:type="spellEnd"/>
      <w:r w:rsidRPr="000F5AEF">
        <w:rPr>
          <w:rFonts w:eastAsia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(далее - образованный земельный участок), соответствует виду разрешенного использования земельного участка, находящегося в частной собственности, размер платы за увеличение площади земельного участка, находящегося в частной собственности, определяется по формуле:</w:t>
      </w: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Cs w:val="0"/>
          <w:sz w:val="28"/>
          <w:szCs w:val="28"/>
          <w:lang w:val="en-US"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П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= (S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- 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0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) x 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КС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/ 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0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>,</w:t>
      </w: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val="en-US" w:eastAsia="ru-RU"/>
        </w:rPr>
      </w:pP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val="en-US"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где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>: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П - размер платы за увеличение площади земельного участка, руб.;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- площадь образованного земельного участка, кв. м;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eastAsia="ru-RU"/>
        </w:rPr>
        <w:t>0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- площадь земельного участка, находящегося в частной собственности, кв. м;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КС - кадастровая стоимость земельного участка, находящегося в частной собственности, определенная в соответствии со сведениями Единого государственного реестра недвижимости или в соответствии с утвержденными постановлениями Правительства Удмуртской Республики результатами определения кадастровой стоимости земельных участков в период до внесения сведений о них в Единый государственный реестр недвижимости, руб.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2. В случае если в результате перераспределения вид разрешенного использования образованного земельного участка не соответствует виду разрешенного использования земельного участка, находящегося в частной собственности, размер платы за увеличение площади земельного участка, находящегося в частной собственности, определяется исходя из кадастровой стоимости земельного участка, находящегося в частной собственности, или кадастровой стоимости образованного земельного участка в следующем порядке: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1) в случае если кадастровая стоимость 1 квадратного метра образованного земельного участка превышает кадастровую стоимость 1 квадратного метра земельного участка, находящегося в частной собственности, размер платы за увеличение площади земельного участка, находящегося в частной собственности, определяется по формуле:</w:t>
      </w: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Cs w:val="0"/>
          <w:sz w:val="28"/>
          <w:szCs w:val="28"/>
          <w:lang w:val="en-US"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П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= (S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- 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0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) x 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КС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 xml:space="preserve"> / 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val="en-US"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>,</w:t>
      </w: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val="en-US" w:eastAsia="ru-RU"/>
        </w:rPr>
      </w:pPr>
    </w:p>
    <w:p w:rsidR="00BB1DBD" w:rsidRPr="000F5AEF" w:rsidRDefault="00BB1DBD" w:rsidP="00BB1DB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val="en-US"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где</w:t>
      </w:r>
      <w:r w:rsidRPr="000F5AEF">
        <w:rPr>
          <w:rFonts w:eastAsia="Times New Roman" w:cs="Times New Roman"/>
          <w:bCs w:val="0"/>
          <w:sz w:val="28"/>
          <w:szCs w:val="28"/>
          <w:lang w:val="en-US" w:eastAsia="ru-RU"/>
        </w:rPr>
        <w:t>: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П - размер платы за увеличение площади земельного участка, руб.;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- площадь образованного земельного участка, кв. м;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S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eastAsia="ru-RU"/>
        </w:rPr>
        <w:t>0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- площадь земельного участка, находящегося в частной собственности, кв. м;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>КС</w:t>
      </w:r>
      <w:r w:rsidRPr="000F5AEF">
        <w:rPr>
          <w:rFonts w:eastAsia="Times New Roman" w:cs="Times New Roman"/>
          <w:bCs w:val="0"/>
          <w:sz w:val="28"/>
          <w:szCs w:val="28"/>
          <w:vertAlign w:val="subscript"/>
          <w:lang w:eastAsia="ru-RU"/>
        </w:rPr>
        <w:t>1</w:t>
      </w: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- кадастровая стоимость образованного земельного участка, определенная в соответствии со сведениями Единого государственного реестра недвижимости, руб.;</w:t>
      </w:r>
    </w:p>
    <w:p w:rsidR="00BB1DBD" w:rsidRPr="000F5AEF" w:rsidRDefault="00BB1DBD" w:rsidP="00BB1DBD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2) в случае если кадастровая стоимость 1 квадратного метра образованного земельного участка не превышает кадастровую стоимость 1 квадратного метра земельного участка, находящегося в частной собственности, размер платы за увеличение площади земельного участка, находящегося в частной собственности, определяется в порядке, установленном </w:t>
      </w:r>
      <w:hyperlink w:anchor="P45" w:history="1">
        <w:r w:rsidRPr="000F5AEF">
          <w:rPr>
            <w:rFonts w:eastAsia="Times New Roman" w:cs="Times New Roman"/>
            <w:bCs w:val="0"/>
            <w:sz w:val="28"/>
            <w:szCs w:val="28"/>
            <w:lang w:eastAsia="ru-RU"/>
          </w:rPr>
          <w:t>пунктом 1</w:t>
        </w:r>
      </w:hyperlink>
      <w:r w:rsidRPr="000F5AEF">
        <w:rPr>
          <w:rFonts w:eastAsia="Times New Roman" w:cs="Times New Roman"/>
          <w:bCs w:val="0"/>
          <w:sz w:val="28"/>
          <w:szCs w:val="28"/>
          <w:lang w:eastAsia="ru-RU"/>
        </w:rPr>
        <w:t xml:space="preserve"> настоящего Порядка.</w:t>
      </w:r>
    </w:p>
    <w:p w:rsidR="00C467F0" w:rsidRPr="000F5AEF" w:rsidRDefault="00B07C02" w:rsidP="00BB1DBD">
      <w:pPr>
        <w:pStyle w:val="a4"/>
        <w:jc w:val="center"/>
        <w:rPr>
          <w:sz w:val="28"/>
          <w:szCs w:val="28"/>
        </w:rPr>
      </w:pPr>
      <w:r w:rsidRPr="000F5AEF">
        <w:rPr>
          <w:sz w:val="28"/>
          <w:szCs w:val="28"/>
        </w:rPr>
        <w:t>_________________</w:t>
      </w:r>
    </w:p>
    <w:sectPr w:rsidR="00C467F0" w:rsidRPr="000F5AEF" w:rsidSect="00BB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A"/>
    <w:rsid w:val="000C0D93"/>
    <w:rsid w:val="000F5AEF"/>
    <w:rsid w:val="00252002"/>
    <w:rsid w:val="00276F4D"/>
    <w:rsid w:val="003B159A"/>
    <w:rsid w:val="0049246A"/>
    <w:rsid w:val="00496F13"/>
    <w:rsid w:val="004C51B0"/>
    <w:rsid w:val="004C66E0"/>
    <w:rsid w:val="00764184"/>
    <w:rsid w:val="007D47F4"/>
    <w:rsid w:val="009025CF"/>
    <w:rsid w:val="00952E84"/>
    <w:rsid w:val="009F3DBC"/>
    <w:rsid w:val="00A3360D"/>
    <w:rsid w:val="00A840A5"/>
    <w:rsid w:val="00B07C02"/>
    <w:rsid w:val="00BB1DBD"/>
    <w:rsid w:val="00BB57AE"/>
    <w:rsid w:val="00C467F0"/>
    <w:rsid w:val="00CB3E10"/>
    <w:rsid w:val="00D343EF"/>
    <w:rsid w:val="00F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6AF9A-549F-4FBC-B95F-D29772A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64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ABC6E8BC53F616F8DDEC16D6411E82D790B2686D5BE3379FE11725107E2AD829BFCB3B6979ED92B44305A49092B7930F75464824r7G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94A3-9140-492C-87B0-BF03B99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6C325F98</Template>
  <TotalTime>2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Майшева Екатерина Александровна</cp:lastModifiedBy>
  <cp:revision>2</cp:revision>
  <cp:lastPrinted>2022-10-24T10:32:00Z</cp:lastPrinted>
  <dcterms:created xsi:type="dcterms:W3CDTF">2022-10-28T09:55:00Z</dcterms:created>
  <dcterms:modified xsi:type="dcterms:W3CDTF">2022-10-28T09:55:00Z</dcterms:modified>
</cp:coreProperties>
</file>