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803B56" w:rsidRPr="00803B56" w:rsidTr="00506D30">
        <w:trPr>
          <w:trHeight w:val="1257"/>
          <w:jc w:val="center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803B56" w:rsidRPr="00803B56" w:rsidRDefault="00803B56" w:rsidP="00803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803B56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803B56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Pr="00803B56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3B5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803B56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803B56" w:rsidRPr="00803B56" w:rsidRDefault="00803B56" w:rsidP="00803B56">
      <w:pPr>
        <w:shd w:val="clear" w:color="auto" w:fill="FFFFFF"/>
        <w:spacing w:before="1334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22"/>
          <w:sz w:val="28"/>
          <w:szCs w:val="28"/>
          <w:lang w:eastAsia="ru-RU"/>
        </w:rPr>
      </w:pPr>
    </w:p>
    <w:p w:rsidR="00803B56" w:rsidRPr="00803B56" w:rsidRDefault="00803B56" w:rsidP="00803B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40"/>
          <w:szCs w:val="40"/>
          <w:lang w:eastAsia="ru-RU"/>
        </w:rPr>
      </w:pPr>
      <w:r w:rsidRPr="00803B56">
        <w:rPr>
          <w:rFonts w:ascii="Times New Roman" w:eastAsia="Times New Roman" w:hAnsi="Times New Roman" w:cs="Times New Roman"/>
          <w:b/>
          <w:bCs/>
          <w:color w:val="000000"/>
          <w:spacing w:val="20"/>
          <w:sz w:val="40"/>
          <w:szCs w:val="40"/>
          <w:lang w:eastAsia="ru-RU"/>
        </w:rPr>
        <w:t>ПОСТАНОВЛЕНИЕ</w:t>
      </w:r>
    </w:p>
    <w:p w:rsidR="00803B56" w:rsidRPr="00803B56" w:rsidRDefault="00803B56" w:rsidP="00803B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803B56" w:rsidRPr="00803B56" w:rsidRDefault="00803B56" w:rsidP="00803B56">
      <w:pPr>
        <w:shd w:val="clear" w:color="auto" w:fill="FFFFFF"/>
        <w:tabs>
          <w:tab w:val="left" w:pos="8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от </w:t>
      </w:r>
      <w:r w:rsidR="003008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28 июля </w:t>
      </w:r>
      <w:r w:rsidRPr="00803B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2022 года</w:t>
      </w:r>
      <w:r w:rsidRP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3B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№</w:t>
      </w:r>
      <w:r w:rsidR="00300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516</w:t>
      </w:r>
      <w:r w:rsidRPr="00803B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803B56" w:rsidRPr="00803B56" w:rsidRDefault="00803B56" w:rsidP="00803B56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с. Сюмси</w:t>
      </w:r>
    </w:p>
    <w:p w:rsidR="00A0216C" w:rsidRPr="00803B56" w:rsidRDefault="00E113FB">
      <w:pPr>
        <w:rPr>
          <w:sz w:val="28"/>
          <w:szCs w:val="28"/>
        </w:rPr>
      </w:pPr>
    </w:p>
    <w:p w:rsidR="00803B56" w:rsidRPr="003008D3" w:rsidRDefault="00803B56" w:rsidP="00803B56">
      <w:pPr>
        <w:jc w:val="center"/>
        <w:rPr>
          <w:sz w:val="28"/>
          <w:szCs w:val="28"/>
        </w:rPr>
      </w:pPr>
      <w:r w:rsidRPr="0030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8C6EE0" w:rsidRPr="00300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</w:t>
      </w:r>
      <w:bookmarkStart w:id="0" w:name="_GoBack"/>
      <w:bookmarkEnd w:id="0"/>
      <w:r w:rsidRPr="0030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и схему мест (площадок) накопления твердых коммунальных отходов муниципального образования «Муниципальный округ Сюмсинский район Удмуртской Республики»</w:t>
      </w:r>
    </w:p>
    <w:p w:rsidR="00803B56" w:rsidRDefault="00803B56" w:rsidP="00803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организации работы по размещению контейнерных площадок, предназначенных для сбора твердых бытовых отходов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Сюмсинский район Удмуртской Республики»,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</w:t>
      </w:r>
      <w:proofErr w:type="gramEnd"/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августа 2018 года № 1039 «Об утверждении правил обустройства мест (площадок) накопления твердых коммунальных отходов и ведения их реестра»,</w:t>
      </w:r>
      <w:r w:rsidRP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муниципального образования «Муниципальный округ Сюмсинский район Удмуртской Республики» постановляет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3B56" w:rsidRPr="00803B56" w:rsidRDefault="00803B56" w:rsidP="00803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реестр мест размещения контейнерных площадок для сбора ТКО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Сюмсинский район Удмуртской Республики», утвержденный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Сюмсинский район Удмуртской Республики»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№215 от 13 апреля 2022 года 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согласно Приложению.</w:t>
      </w:r>
    </w:p>
    <w:p w:rsidR="00803B56" w:rsidRPr="00803B56" w:rsidRDefault="00803B56" w:rsidP="00803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схему мест размещения  контейнерных площадок для сбора ТКО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Сюмсинский район Удмуртской Республики», утвержденный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Сюмсинский район Удмуртской Республики»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№215 от 13 апреля 2022 года  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местах накопления ТКО указанных в Приложении.</w:t>
      </w:r>
    </w:p>
    <w:p w:rsidR="00803B56" w:rsidRPr="00803B56" w:rsidRDefault="00803B56" w:rsidP="00803B56">
      <w:pPr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соответствии с Уставом  </w:t>
      </w:r>
      <w:r w:rsidRP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Республики».</w:t>
      </w:r>
    </w:p>
    <w:p w:rsidR="00803B56" w:rsidRDefault="00803B56" w:rsidP="00803B56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 Сюмсинский  район  Удмуртской  Республики» Сидорову А.П.</w:t>
      </w:r>
    </w:p>
    <w:p w:rsidR="00803B56" w:rsidRDefault="00803B56" w:rsidP="00803B56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B56" w:rsidRPr="00803B56" w:rsidRDefault="00803B56" w:rsidP="00803B56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56" w:rsidRPr="00803B56" w:rsidRDefault="00803B56" w:rsidP="00803B5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</w:t>
      </w:r>
      <w:r w:rsidR="00F3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В.И.Семёнов</w:t>
      </w:r>
    </w:p>
    <w:p w:rsid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803B56" w:rsidSect="00291A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3B56" w:rsidRP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УТВЕРЖДЁН</w:t>
      </w:r>
    </w:p>
    <w:p w:rsidR="00803B56" w:rsidRP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803B56" w:rsidRP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03B56" w:rsidRP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Сюмсинский </w:t>
      </w:r>
    </w:p>
    <w:p w:rsidR="00803B56" w:rsidRP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Удмуртской Республики</w:t>
      </w:r>
    </w:p>
    <w:p w:rsidR="00803B56" w:rsidRP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0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июля 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</w:t>
      </w:r>
      <w:r w:rsidR="0030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516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B56" w:rsidRPr="00803B56" w:rsidRDefault="00803B56" w:rsidP="00803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56" w:rsidRPr="00803B56" w:rsidRDefault="00803B56" w:rsidP="00803B5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мест (площадок) накопления контейнерных площадок для сбора 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803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рдых коммунальных</w:t>
      </w:r>
    </w:p>
    <w:p w:rsidR="00803B56" w:rsidRPr="00803B56" w:rsidRDefault="00803B56" w:rsidP="00803B5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отходов на территории </w:t>
      </w:r>
      <w:r w:rsidRPr="0080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8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«Муниципальный округ Сюмсинский район</w:t>
      </w:r>
    </w:p>
    <w:p w:rsidR="00803B56" w:rsidRPr="00803B56" w:rsidRDefault="00803B56" w:rsidP="00803B5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Удмуртской Республики»</w:t>
      </w:r>
    </w:p>
    <w:p w:rsidR="00803B56" w:rsidRPr="00803B56" w:rsidRDefault="00803B56" w:rsidP="00803B5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B56" w:rsidRPr="00803B56" w:rsidRDefault="00803B56" w:rsidP="00803B5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544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1276"/>
        <w:gridCol w:w="1700"/>
        <w:gridCol w:w="1701"/>
        <w:gridCol w:w="995"/>
        <w:gridCol w:w="848"/>
        <w:gridCol w:w="1275"/>
        <w:gridCol w:w="1276"/>
        <w:gridCol w:w="709"/>
        <w:gridCol w:w="1701"/>
        <w:gridCol w:w="2694"/>
        <w:gridCol w:w="709"/>
      </w:tblGrid>
      <w:tr w:rsidR="00803B56" w:rsidRPr="00803B56" w:rsidTr="00803B56">
        <w:trPr>
          <w:trHeight w:val="219"/>
          <w:tblHeader/>
        </w:trPr>
        <w:tc>
          <w:tcPr>
            <w:tcW w:w="562" w:type="dxa"/>
            <w:vMerge w:val="restart"/>
            <w:vAlign w:val="center"/>
          </w:tcPr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eastAsia="ru-RU"/>
              </w:rPr>
              <w:t>№</w:t>
            </w:r>
          </w:p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03B56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eastAsia="ru-RU"/>
              </w:rPr>
              <w:t>п</w:t>
            </w:r>
            <w:proofErr w:type="gramEnd"/>
            <w:r w:rsidRPr="00803B56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eastAsia="ru-RU"/>
              </w:rPr>
              <w:t>Наименов</w:t>
            </w: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ание населенного пункта</w:t>
            </w:r>
          </w:p>
        </w:tc>
        <w:tc>
          <w:tcPr>
            <w:tcW w:w="3401" w:type="dxa"/>
            <w:gridSpan w:val="2"/>
            <w:vAlign w:val="center"/>
          </w:tcPr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>Данные о нахождении мест (площадок)</w:t>
            </w:r>
          </w:p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>накопления твердых коммунальных отходов</w:t>
            </w:r>
          </w:p>
        </w:tc>
        <w:tc>
          <w:tcPr>
            <w:tcW w:w="5103" w:type="dxa"/>
            <w:gridSpan w:val="5"/>
            <w:vAlign w:val="center"/>
          </w:tcPr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701" w:type="dxa"/>
            <w:vMerge w:val="restart"/>
            <w:vAlign w:val="center"/>
          </w:tcPr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eastAsia="ru-RU"/>
              </w:rPr>
              <w:t xml:space="preserve">Данные об источник </w:t>
            </w:r>
            <w:r w:rsidRPr="00803B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>образован</w:t>
            </w: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 твердых коммунальных отходов (далее – ТКО)</w:t>
            </w:r>
          </w:p>
        </w:tc>
        <w:tc>
          <w:tcPr>
            <w:tcW w:w="2694" w:type="dxa"/>
            <w:vMerge w:val="restart"/>
            <w:vAlign w:val="center"/>
          </w:tcPr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Данные </w:t>
            </w:r>
            <w:r w:rsidRPr="00803B56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eastAsia="ru-RU"/>
              </w:rPr>
              <w:t xml:space="preserve">о собственниках </w:t>
            </w: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 (площадок) накопления ТКО</w:t>
            </w:r>
          </w:p>
          <w:p w:rsidR="00803B56" w:rsidRPr="00803B56" w:rsidRDefault="00803B56" w:rsidP="00803B56">
            <w:pPr>
              <w:spacing w:after="0" w:line="219" w:lineRule="exact"/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803B5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юр</w:t>
            </w:r>
            <w:proofErr w:type="gramStart"/>
            <w:r w:rsidRPr="00803B5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.л</w:t>
            </w:r>
            <w:proofErr w:type="gramEnd"/>
            <w:r w:rsidRPr="00803B5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иц: Полное наименование, ЕГРЮЛ, фактический адрес; для ИП: ФИО, ОГРН, адрес регистрации по месту жительства; Для физ</w:t>
            </w:r>
            <w:proofErr w:type="gramStart"/>
            <w:r w:rsidRPr="00803B5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.л</w:t>
            </w:r>
            <w:proofErr w:type="gramEnd"/>
            <w:r w:rsidRPr="00803B5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иц: </w:t>
            </w:r>
            <w:proofErr w:type="gramStart"/>
            <w:r w:rsidRPr="00803B5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ФИО, серия, номер, дата выдачи паспорта или иного документа, адрес регистрации, телефон)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и </w:t>
            </w:r>
            <w:r w:rsidRPr="00803B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 xml:space="preserve">номер решения о включении </w:t>
            </w:r>
            <w:r w:rsidRPr="00803B56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eastAsia="ru-RU"/>
              </w:rPr>
              <w:t xml:space="preserve">и (отказе) </w:t>
            </w:r>
            <w:r w:rsidRPr="00803B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 xml:space="preserve">сведений </w:t>
            </w: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месте </w:t>
            </w:r>
            <w:r w:rsidRPr="00803B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>(площадке) накоплени</w:t>
            </w: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ТКО в реестр</w:t>
            </w:r>
          </w:p>
        </w:tc>
      </w:tr>
      <w:tr w:rsidR="00803B56" w:rsidRPr="00803B56" w:rsidTr="00803B56">
        <w:trPr>
          <w:trHeight w:val="189"/>
          <w:tblHeader/>
        </w:trPr>
        <w:tc>
          <w:tcPr>
            <w:tcW w:w="562" w:type="dxa"/>
            <w:vMerge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03B56" w:rsidRPr="00803B56" w:rsidRDefault="00803B56" w:rsidP="00803B56">
            <w:pPr>
              <w:spacing w:after="0" w:line="18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803B56" w:rsidRPr="00803B56" w:rsidRDefault="00803B56" w:rsidP="00803B56">
            <w:pPr>
              <w:spacing w:after="0" w:line="18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>Адрес</w:t>
            </w:r>
            <w:r w:rsidRPr="00803B56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eastAsia="ru-RU"/>
              </w:rPr>
              <w:t xml:space="preserve"> контейнерной</w:t>
            </w: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площадки</w:t>
            </w:r>
          </w:p>
        </w:tc>
        <w:tc>
          <w:tcPr>
            <w:tcW w:w="1701" w:type="dxa"/>
            <w:vMerge w:val="restart"/>
            <w:vAlign w:val="center"/>
          </w:tcPr>
          <w:p w:rsidR="00803B56" w:rsidRPr="00803B56" w:rsidRDefault="00803B56" w:rsidP="00803B56">
            <w:pPr>
              <w:spacing w:after="0" w:line="18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 xml:space="preserve">Адрес </w:t>
            </w:r>
            <w:r w:rsidRPr="00803B56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eastAsia="ru-RU"/>
              </w:rPr>
              <w:t>обслу</w:t>
            </w: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живаемых домов</w:t>
            </w:r>
          </w:p>
          <w:p w:rsidR="00803B56" w:rsidRPr="00803B56" w:rsidRDefault="00803B56" w:rsidP="00803B56">
            <w:pPr>
              <w:spacing w:after="0" w:line="18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(названи</w:t>
            </w:r>
            <w:r w:rsidRPr="00803B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>я улиц)</w:t>
            </w:r>
          </w:p>
        </w:tc>
        <w:tc>
          <w:tcPr>
            <w:tcW w:w="995" w:type="dxa"/>
            <w:vMerge w:val="restart"/>
            <w:vAlign w:val="center"/>
          </w:tcPr>
          <w:p w:rsidR="00803B56" w:rsidRPr="00803B56" w:rsidRDefault="00803B56" w:rsidP="00803B56">
            <w:pPr>
              <w:spacing w:after="0" w:line="18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eastAsia="ru-RU"/>
              </w:rPr>
              <w:t>Покрытие (грунт,</w:t>
            </w:r>
            <w:r w:rsidRPr="00803B56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eastAsia="ru-RU"/>
              </w:rPr>
              <w:t xml:space="preserve"> бетон,</w:t>
            </w: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асфальт, иное)</w:t>
            </w:r>
          </w:p>
        </w:tc>
        <w:tc>
          <w:tcPr>
            <w:tcW w:w="848" w:type="dxa"/>
            <w:vMerge w:val="restart"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eastAsia="ru-RU"/>
              </w:rPr>
              <w:t>Пло</w:t>
            </w: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щад</w:t>
            </w:r>
            <w:r w:rsidRPr="00803B56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eastAsia="ru-RU"/>
              </w:rPr>
              <w:t xml:space="preserve">ь, </w:t>
            </w: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260" w:type="dxa"/>
            <w:gridSpan w:val="3"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>Кол-во контейнеров с</w:t>
            </w: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указанием объема</w:t>
            </w:r>
          </w:p>
        </w:tc>
        <w:tc>
          <w:tcPr>
            <w:tcW w:w="1701" w:type="dxa"/>
            <w:vMerge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03B56" w:rsidRPr="00803B56" w:rsidRDefault="00803B56" w:rsidP="00803B56">
            <w:pPr>
              <w:spacing w:after="0" w:line="18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3B56" w:rsidRPr="00803B56" w:rsidTr="00803B56">
        <w:trPr>
          <w:trHeight w:val="230"/>
          <w:tblHeader/>
        </w:trPr>
        <w:tc>
          <w:tcPr>
            <w:tcW w:w="562" w:type="dxa"/>
            <w:vMerge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vAlign w:val="center"/>
          </w:tcPr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Размещенные, </w:t>
            </w:r>
            <w:proofErr w:type="spellStart"/>
            <w:proofErr w:type="gramStart"/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03B56" w:rsidRPr="00803B56" w:rsidRDefault="00803B56" w:rsidP="00803B56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Планируемые к размещению, </w:t>
            </w:r>
            <w:proofErr w:type="spellStart"/>
            <w:proofErr w:type="gramStart"/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Объем,</w:t>
            </w:r>
            <w:r w:rsidRPr="00803B56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1701" w:type="dxa"/>
            <w:vMerge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803B56" w:rsidRPr="00803B56" w:rsidRDefault="00803B56" w:rsidP="00803B56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3B56" w:rsidRPr="00803B56" w:rsidTr="00803B56">
        <w:trPr>
          <w:trHeight w:val="491"/>
        </w:trPr>
        <w:tc>
          <w:tcPr>
            <w:tcW w:w="562" w:type="dxa"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умси</w:t>
            </w:r>
            <w:proofErr w:type="spellEnd"/>
          </w:p>
        </w:tc>
        <w:tc>
          <w:tcPr>
            <w:tcW w:w="1700" w:type="dxa"/>
            <w:vAlign w:val="center"/>
          </w:tcPr>
          <w:p w:rsid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УР, Сюмсинский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Леспромхозовская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 моста через реку Кильмезь</w:t>
            </w:r>
            <w:r w:rsidR="0087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</w:p>
          <w:p w:rsidR="007A017A" w:rsidRPr="00803B56" w:rsidRDefault="007A017A" w:rsidP="0087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</w:t>
            </w:r>
            <w:r w:rsidR="0087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57.2049, 51.6289</w:t>
            </w:r>
          </w:p>
        </w:tc>
        <w:tc>
          <w:tcPr>
            <w:tcW w:w="1701" w:type="dxa"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Align w:val="center"/>
          </w:tcPr>
          <w:p w:rsidR="00803B56" w:rsidRPr="00803B56" w:rsidRDefault="00803B56" w:rsidP="0080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01" w:type="dxa"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803B56" w:rsidRPr="00803B56" w:rsidRDefault="00803B56" w:rsidP="00803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 w:rsidRPr="00803B5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Муниципальный округ Сюмсинский район Удмуртской Республики»</w:t>
            </w:r>
          </w:p>
        </w:tc>
        <w:tc>
          <w:tcPr>
            <w:tcW w:w="709" w:type="dxa"/>
            <w:vAlign w:val="center"/>
          </w:tcPr>
          <w:p w:rsidR="00803B56" w:rsidRPr="00803B56" w:rsidRDefault="00803B56" w:rsidP="0080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3B56" w:rsidRDefault="00803B56"/>
    <w:sectPr w:rsidR="00803B56" w:rsidSect="00803B56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B56"/>
    <w:rsid w:val="000F5579"/>
    <w:rsid w:val="003008D3"/>
    <w:rsid w:val="005B2869"/>
    <w:rsid w:val="007330D2"/>
    <w:rsid w:val="007A017A"/>
    <w:rsid w:val="00803B56"/>
    <w:rsid w:val="00864D09"/>
    <w:rsid w:val="008730D3"/>
    <w:rsid w:val="008C6EE0"/>
    <w:rsid w:val="008E7FBD"/>
    <w:rsid w:val="00DE51B1"/>
    <w:rsid w:val="00DE7637"/>
    <w:rsid w:val="00E113FB"/>
    <w:rsid w:val="00F3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B9C3-A4A3-4BB9-9289-0E730BE8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AR</cp:lastModifiedBy>
  <cp:revision>2</cp:revision>
  <cp:lastPrinted>2022-07-29T06:43:00Z</cp:lastPrinted>
  <dcterms:created xsi:type="dcterms:W3CDTF">2022-08-08T04:14:00Z</dcterms:created>
  <dcterms:modified xsi:type="dcterms:W3CDTF">2022-08-08T04:14:00Z</dcterms:modified>
</cp:coreProperties>
</file>